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FBF6"/>
  <w:body>
    <w:p w:rsidR="00910212" w:rsidRDefault="00875AD5" w:rsidP="00875AD5">
      <w:pPr>
        <w:spacing w:after="220"/>
        <w:jc w:val="center"/>
      </w:pPr>
      <w:r>
        <w:rPr>
          <w:noProof/>
        </w:rPr>
        <w:drawing>
          <wp:inline distT="0" distB="0" distL="0" distR="0" wp14:anchorId="2BB2B6A6" wp14:editId="0215BAB3">
            <wp:extent cx="2000250" cy="6667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a:fillRect/>
                    </a:stretch>
                  </pic:blipFill>
                  <pic:spPr bwMode="auto">
                    <a:xfrm>
                      <a:off x="0" y="0"/>
                      <a:ext cx="2000250" cy="666750"/>
                    </a:xfrm>
                    <a:prstGeom prst="rect">
                      <a:avLst/>
                    </a:prstGeom>
                  </pic:spPr>
                </pic:pic>
              </a:graphicData>
            </a:graphic>
          </wp:inline>
        </w:drawing>
      </w:r>
    </w:p>
    <w:p w:rsidR="00910212" w:rsidRDefault="00A523AA">
      <w:pPr>
        <w:spacing w:before="220"/>
        <w:jc w:val="center"/>
      </w:pPr>
      <w:r>
        <w:rPr>
          <w:rFonts w:ascii="Georgia" w:eastAsia="Georgia" w:hAnsi="Georgia" w:cs="Georgia"/>
          <w:b/>
          <w:bCs/>
          <w:color w:val="0B1F3A"/>
          <w:sz w:val="52"/>
          <w:szCs w:val="52"/>
        </w:rPr>
        <w:t>International Journal of Cyber Law</w:t>
      </w:r>
    </w:p>
    <w:p w:rsidR="00910212" w:rsidRDefault="00910212">
      <w:pPr>
        <w:pBdr>
          <w:bottom w:val="single" w:sz="10" w:space="1" w:color="0B1F3A"/>
        </w:pBdr>
        <w:spacing w:before="140" w:after="2"/>
      </w:pPr>
    </w:p>
    <w:p w:rsidR="00910212" w:rsidRDefault="00910212">
      <w:pPr>
        <w:pBdr>
          <w:bottom w:val="single" w:sz="4" w:space="1" w:color="B48C3C"/>
        </w:pBdr>
        <w:spacing w:after="300"/>
      </w:pPr>
    </w:p>
    <w:p w:rsidR="00910212" w:rsidRPr="00CA2806" w:rsidRDefault="00A523AA">
      <w:pPr>
        <w:spacing w:before="100" w:after="240"/>
        <w:jc w:val="center"/>
        <w:rPr>
          <w:rFonts w:ascii="Georgia" w:hAnsi="Georgia"/>
        </w:rPr>
      </w:pPr>
      <w:r w:rsidRPr="00CA2806">
        <w:rPr>
          <w:rFonts w:ascii="Georgia" w:eastAsia="Georgia" w:hAnsi="Georgia" w:cs="Georgia"/>
          <w:b/>
          <w:bCs/>
          <w:color w:val="0B1F3A"/>
          <w:sz w:val="34"/>
          <w:szCs w:val="34"/>
        </w:rPr>
        <w:t>Sovereignty in the Cloud: Jurisdictional Conflicts in Cross-Border Data Governance</w:t>
      </w:r>
    </w:p>
    <w:p w:rsidR="00910212" w:rsidRPr="00CA2806" w:rsidRDefault="00A523AA">
      <w:pPr>
        <w:spacing w:after="70"/>
        <w:jc w:val="center"/>
        <w:rPr>
          <w:rFonts w:ascii="Georgia" w:hAnsi="Georgia"/>
          <w:sz w:val="22"/>
        </w:rPr>
      </w:pPr>
      <w:r w:rsidRPr="00CA2806">
        <w:rPr>
          <w:rFonts w:ascii="Georgia" w:eastAsia="Calibri" w:hAnsi="Georgia" w:cs="Calibri"/>
          <w:b/>
          <w:bCs/>
          <w:color w:val="0B1F3A"/>
          <w:sz w:val="22"/>
          <w:szCs w:val="21"/>
        </w:rPr>
        <w:t>Ayesha R. Karimova</w:t>
      </w:r>
      <w:r w:rsidRPr="00CA2806">
        <w:rPr>
          <w:rFonts w:ascii="Georgia" w:eastAsia="Calibri" w:hAnsi="Georgia" w:cs="Calibri"/>
          <w:color w:val="0B1F3A"/>
          <w:sz w:val="22"/>
          <w:szCs w:val="21"/>
          <w:vertAlign w:val="superscript"/>
        </w:rPr>
        <w:t>¹</w:t>
      </w:r>
      <w:r w:rsidRPr="00CA2806">
        <w:rPr>
          <w:rFonts w:ascii="Georgia" w:eastAsia="Calibri" w:hAnsi="Georgia" w:cs="Calibri"/>
          <w:color w:val="B48C3C"/>
          <w:sz w:val="22"/>
          <w:szCs w:val="21"/>
        </w:rPr>
        <w:t xml:space="preserve">   ·   </w:t>
      </w:r>
      <w:proofErr w:type="spellStart"/>
      <w:r w:rsidRPr="00CA2806">
        <w:rPr>
          <w:rFonts w:ascii="Georgia" w:eastAsia="Calibri" w:hAnsi="Georgia" w:cs="Calibri"/>
          <w:b/>
          <w:bCs/>
          <w:color w:val="0B1F3A"/>
          <w:sz w:val="22"/>
          <w:szCs w:val="21"/>
        </w:rPr>
        <w:t>Farrukh</w:t>
      </w:r>
      <w:proofErr w:type="spellEnd"/>
      <w:r w:rsidRPr="00CA2806">
        <w:rPr>
          <w:rFonts w:ascii="Georgia" w:eastAsia="Calibri" w:hAnsi="Georgia" w:cs="Calibri"/>
          <w:b/>
          <w:bCs/>
          <w:color w:val="0B1F3A"/>
          <w:sz w:val="22"/>
          <w:szCs w:val="21"/>
        </w:rPr>
        <w:t xml:space="preserve"> N. Islamov</w:t>
      </w:r>
      <w:r w:rsidRPr="00CA2806">
        <w:rPr>
          <w:rFonts w:ascii="Georgia" w:eastAsia="Calibri" w:hAnsi="Georgia" w:cs="Calibri"/>
          <w:color w:val="0B1F3A"/>
          <w:sz w:val="22"/>
          <w:szCs w:val="21"/>
          <w:vertAlign w:val="superscript"/>
        </w:rPr>
        <w:t>²</w:t>
      </w:r>
      <w:r w:rsidRPr="00CA2806">
        <w:rPr>
          <w:rFonts w:ascii="Georgia" w:eastAsia="Calibri" w:hAnsi="Georgia" w:cs="Calibri"/>
          <w:color w:val="B48C3C"/>
          <w:sz w:val="22"/>
          <w:szCs w:val="21"/>
        </w:rPr>
        <w:t xml:space="preserve">   ·   </w:t>
      </w:r>
      <w:r w:rsidRPr="00CA2806">
        <w:rPr>
          <w:rFonts w:ascii="Georgia" w:eastAsia="Calibri" w:hAnsi="Georgia" w:cs="Calibri"/>
          <w:b/>
          <w:bCs/>
          <w:color w:val="0B1F3A"/>
          <w:sz w:val="22"/>
          <w:szCs w:val="21"/>
        </w:rPr>
        <w:t>David M. Chen</w:t>
      </w:r>
      <w:r w:rsidRPr="00CA2806">
        <w:rPr>
          <w:rFonts w:ascii="Georgia" w:eastAsia="Calibri" w:hAnsi="Georgia" w:cs="Calibri"/>
          <w:color w:val="0B1F3A"/>
          <w:sz w:val="22"/>
          <w:szCs w:val="21"/>
          <w:vertAlign w:val="superscript"/>
        </w:rPr>
        <w:t>³*</w:t>
      </w:r>
      <w:r w:rsidRPr="00CA2806">
        <w:rPr>
          <w:rFonts w:ascii="Georgia" w:eastAsia="Calibri" w:hAnsi="Georgia" w:cs="Calibri"/>
          <w:color w:val="B48C3C"/>
          <w:sz w:val="22"/>
          <w:szCs w:val="21"/>
        </w:rPr>
        <w:t xml:space="preserve">   ·   </w:t>
      </w:r>
      <w:r w:rsidRPr="00CA2806">
        <w:rPr>
          <w:rFonts w:ascii="Georgia" w:eastAsia="Calibri" w:hAnsi="Georgia" w:cs="Calibri"/>
          <w:b/>
          <w:bCs/>
          <w:color w:val="0B1F3A"/>
          <w:sz w:val="22"/>
          <w:szCs w:val="21"/>
        </w:rPr>
        <w:t xml:space="preserve">Leila S. </w:t>
      </w:r>
      <w:proofErr w:type="spellStart"/>
      <w:r w:rsidRPr="00CA2806">
        <w:rPr>
          <w:rFonts w:ascii="Georgia" w:eastAsia="Calibri" w:hAnsi="Georgia" w:cs="Calibri"/>
          <w:b/>
          <w:bCs/>
          <w:color w:val="0B1F3A"/>
          <w:sz w:val="22"/>
          <w:szCs w:val="21"/>
        </w:rPr>
        <w:t>Bagirova</w:t>
      </w:r>
      <w:proofErr w:type="spellEnd"/>
      <w:r w:rsidRPr="00CA2806">
        <w:rPr>
          <w:rFonts w:ascii="Georgia" w:eastAsia="Calibri" w:hAnsi="Georgia"/>
          <w:color w:val="0B1F3A"/>
          <w:sz w:val="22"/>
          <w:szCs w:val="21"/>
          <w:vertAlign w:val="superscript"/>
        </w:rPr>
        <w:t>⁴</w:t>
      </w:r>
      <w:r w:rsidRPr="00CA2806">
        <w:rPr>
          <w:rFonts w:ascii="Georgia" w:eastAsia="Calibri" w:hAnsi="Georgia" w:cs="Calibri"/>
          <w:color w:val="B48C3C"/>
          <w:sz w:val="22"/>
          <w:szCs w:val="21"/>
        </w:rPr>
        <w:t xml:space="preserve">   ·   </w:t>
      </w:r>
      <w:r w:rsidRPr="00CA2806">
        <w:rPr>
          <w:rFonts w:ascii="Georgia" w:eastAsia="Calibri" w:hAnsi="Georgia" w:cs="Calibri"/>
          <w:b/>
          <w:bCs/>
          <w:color w:val="0B1F3A"/>
          <w:sz w:val="22"/>
          <w:szCs w:val="21"/>
        </w:rPr>
        <w:t xml:space="preserve">Hassan O. </w:t>
      </w:r>
      <w:proofErr w:type="spellStart"/>
      <w:r w:rsidRPr="00CA2806">
        <w:rPr>
          <w:rFonts w:ascii="Georgia" w:eastAsia="Calibri" w:hAnsi="Georgia" w:cs="Calibri"/>
          <w:b/>
          <w:bCs/>
          <w:color w:val="0B1F3A"/>
          <w:sz w:val="22"/>
          <w:szCs w:val="21"/>
        </w:rPr>
        <w:t>Idris</w:t>
      </w:r>
      <w:proofErr w:type="spellEnd"/>
      <w:r w:rsidRPr="00CA2806">
        <w:rPr>
          <w:rFonts w:ascii="Georgia" w:eastAsia="Calibri" w:hAnsi="Georgia"/>
          <w:color w:val="0B1F3A"/>
          <w:sz w:val="22"/>
          <w:szCs w:val="21"/>
          <w:vertAlign w:val="superscript"/>
        </w:rPr>
        <w:t>⁵</w:t>
      </w:r>
    </w:p>
    <w:p w:rsidR="00910212" w:rsidRPr="00CA2806" w:rsidRDefault="00A523AA" w:rsidP="00014272">
      <w:pPr>
        <w:spacing w:after="4"/>
        <w:rPr>
          <w:rFonts w:ascii="Georgia" w:hAnsi="Georgia"/>
        </w:rPr>
      </w:pPr>
      <w:r w:rsidRPr="00CA2806">
        <w:rPr>
          <w:rFonts w:ascii="Georgia" w:eastAsia="Calibri" w:hAnsi="Georgia" w:cs="Calibri"/>
          <w:color w:val="58595B"/>
        </w:rPr>
        <w:t>¹ Faculty of Law, University of Tashkent, Uzbekistan</w:t>
      </w:r>
    </w:p>
    <w:p w:rsidR="00910212" w:rsidRPr="00CA2806" w:rsidRDefault="00A523AA" w:rsidP="00014272">
      <w:pPr>
        <w:spacing w:after="4"/>
        <w:rPr>
          <w:rFonts w:ascii="Georgia" w:hAnsi="Georgia"/>
        </w:rPr>
      </w:pPr>
      <w:r w:rsidRPr="00CA2806">
        <w:rPr>
          <w:rFonts w:ascii="Georgia" w:eastAsia="Calibri" w:hAnsi="Georgia" w:cs="Calibri"/>
          <w:color w:val="58595B"/>
        </w:rPr>
        <w:t>² School of International Law, Cairo University, Egypt</w:t>
      </w:r>
    </w:p>
    <w:p w:rsidR="00910212" w:rsidRPr="00CA2806" w:rsidRDefault="00A523AA" w:rsidP="00014272">
      <w:pPr>
        <w:spacing w:after="4"/>
        <w:rPr>
          <w:rFonts w:ascii="Georgia" w:hAnsi="Georgia"/>
        </w:rPr>
      </w:pPr>
      <w:r w:rsidRPr="00CA2806">
        <w:rPr>
          <w:rFonts w:ascii="Georgia" w:eastAsia="Calibri" w:hAnsi="Georgia" w:cs="Calibri"/>
          <w:color w:val="58595B"/>
        </w:rPr>
        <w:t>³ Department of Technology Law, Oxford Institute of Legal Studies, United Kingdom</w:t>
      </w:r>
    </w:p>
    <w:p w:rsidR="00910212" w:rsidRPr="00CA2806" w:rsidRDefault="00A523AA" w:rsidP="00014272">
      <w:pPr>
        <w:spacing w:after="4"/>
        <w:rPr>
          <w:rFonts w:ascii="Georgia" w:hAnsi="Georgia"/>
        </w:rPr>
      </w:pPr>
      <w:r w:rsidRPr="00CA2806">
        <w:rPr>
          <w:rFonts w:ascii="Georgia" w:eastAsia="Calibri" w:hAnsi="Georgia" w:cs="Calibri"/>
          <w:color w:val="58595B"/>
        </w:rPr>
        <w:t xml:space="preserve">⁴ Institute of Digital </w:t>
      </w:r>
      <w:proofErr w:type="gramStart"/>
      <w:r w:rsidRPr="00CA2806">
        <w:rPr>
          <w:rFonts w:ascii="Georgia" w:eastAsia="Calibri" w:hAnsi="Georgia" w:cs="Calibri"/>
          <w:color w:val="58595B"/>
        </w:rPr>
        <w:t>Policy</w:t>
      </w:r>
      <w:proofErr w:type="gramEnd"/>
      <w:r w:rsidRPr="00CA2806">
        <w:rPr>
          <w:rFonts w:ascii="Georgia" w:eastAsia="Calibri" w:hAnsi="Georgia" w:cs="Calibri"/>
          <w:color w:val="58595B"/>
        </w:rPr>
        <w:t>, Baku State University, Azerbaijan</w:t>
      </w:r>
    </w:p>
    <w:p w:rsidR="00910212" w:rsidRPr="00CA2806" w:rsidRDefault="00A523AA" w:rsidP="00014272">
      <w:pPr>
        <w:spacing w:after="140"/>
        <w:rPr>
          <w:rFonts w:ascii="Georgia" w:hAnsi="Georgia"/>
        </w:rPr>
      </w:pPr>
      <w:r w:rsidRPr="00CA2806">
        <w:rPr>
          <w:rFonts w:ascii="Georgia" w:eastAsia="Calibri" w:hAnsi="Georgia" w:cs="Calibri"/>
          <w:color w:val="58595B"/>
        </w:rPr>
        <w:t xml:space="preserve">⁵ </w:t>
      </w:r>
      <w:proofErr w:type="gramStart"/>
      <w:r w:rsidRPr="00CA2806">
        <w:rPr>
          <w:rFonts w:ascii="Georgia" w:eastAsia="Calibri" w:hAnsi="Georgia" w:cs="Calibri"/>
          <w:color w:val="58595B"/>
        </w:rPr>
        <w:t>Centre</w:t>
      </w:r>
      <w:proofErr w:type="gramEnd"/>
      <w:r w:rsidRPr="00CA2806">
        <w:rPr>
          <w:rFonts w:ascii="Georgia" w:eastAsia="Calibri" w:hAnsi="Georgia" w:cs="Calibri"/>
          <w:color w:val="58595B"/>
        </w:rPr>
        <w:t xml:space="preserve"> for </w:t>
      </w:r>
      <w:proofErr w:type="spellStart"/>
      <w:r w:rsidRPr="00CA2806">
        <w:rPr>
          <w:rFonts w:ascii="Georgia" w:eastAsia="Calibri" w:hAnsi="Georgia" w:cs="Calibri"/>
          <w:color w:val="58595B"/>
        </w:rPr>
        <w:t>Cybersecurity</w:t>
      </w:r>
      <w:proofErr w:type="spellEnd"/>
      <w:r w:rsidRPr="00CA2806">
        <w:rPr>
          <w:rFonts w:ascii="Georgia" w:eastAsia="Calibri" w:hAnsi="Georgia" w:cs="Calibri"/>
          <w:color w:val="58595B"/>
        </w:rPr>
        <w:t xml:space="preserve"> Governance, National University of Singapore</w:t>
      </w:r>
    </w:p>
    <w:p w:rsidR="00910212" w:rsidRPr="00CA2806" w:rsidRDefault="00A523AA" w:rsidP="00014272">
      <w:pPr>
        <w:spacing w:after="300"/>
        <w:rPr>
          <w:rFonts w:ascii="Georgia" w:hAnsi="Georgia"/>
        </w:rPr>
      </w:pPr>
      <w:r w:rsidRPr="00CA2806">
        <w:rPr>
          <w:rFonts w:ascii="Georgia" w:eastAsia="Calibri" w:hAnsi="Georgia" w:cs="Calibri"/>
          <w:i/>
          <w:iCs/>
          <w:color w:val="0B1F3A"/>
        </w:rPr>
        <w:t xml:space="preserve">* Corresponding author: </w:t>
      </w:r>
      <w:r w:rsidRPr="00CA2806">
        <w:rPr>
          <w:rFonts w:ascii="Georgia" w:eastAsia="Calibri" w:hAnsi="Georgia" w:cs="Calibri"/>
          <w:i/>
          <w:iCs/>
          <w:color w:val="0B1F3A"/>
          <w:u w:val="single"/>
        </w:rPr>
        <w:t>d.chen@ijcl-journal.org</w:t>
      </w:r>
    </w:p>
    <w:tbl>
      <w:tblPr>
        <w:tblW w:w="10080"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910212">
        <w:tc>
          <w:tcPr>
            <w:tcW w:w="10080" w:type="dxa"/>
            <w:tcBorders>
              <w:top w:val="single" w:sz="8" w:space="0" w:color="0B1F3A"/>
              <w:left w:val="single" w:sz="4" w:space="0" w:color="D9D9D9"/>
              <w:bottom w:val="single" w:sz="4" w:space="0" w:color="D9D9D9"/>
              <w:right w:val="single" w:sz="4" w:space="0" w:color="D9D9D9"/>
            </w:tcBorders>
            <w:shd w:val="clear" w:color="auto" w:fill="F5F5F5"/>
            <w:tcMar>
              <w:top w:w="200" w:type="dxa"/>
              <w:left w:w="260" w:type="dxa"/>
              <w:bottom w:w="200" w:type="dxa"/>
              <w:right w:w="260" w:type="dxa"/>
            </w:tcMar>
          </w:tcPr>
          <w:p w:rsidR="00910212" w:rsidRPr="00CA2806" w:rsidRDefault="00A523AA">
            <w:pPr>
              <w:spacing w:after="100"/>
              <w:rPr>
                <w:rFonts w:ascii="Georgia" w:hAnsi="Georgia"/>
                <w:sz w:val="24"/>
              </w:rPr>
            </w:pPr>
            <w:r w:rsidRPr="00CA2806">
              <w:rPr>
                <w:rFonts w:ascii="Georgia" w:eastAsia="Calibri" w:hAnsi="Georgia" w:cs="Calibri"/>
                <w:b/>
                <w:bCs/>
                <w:color w:val="0B1F3A"/>
                <w:szCs w:val="17"/>
              </w:rPr>
              <w:t>A B S T R A C T</w:t>
            </w:r>
          </w:p>
          <w:p w:rsidR="00910212" w:rsidRDefault="00290AFC" w:rsidP="00CA2806">
            <w:pPr>
              <w:spacing w:before="120" w:after="120"/>
              <w:ind w:firstLine="720"/>
              <w:jc w:val="both"/>
            </w:pPr>
            <w:r w:rsidRPr="00290AFC">
              <w:rPr>
                <w:rFonts w:ascii="Garamond" w:eastAsia="Garamond" w:hAnsi="Garamond" w:cs="Garamond"/>
                <w:color w:val="2A2A2A"/>
              </w:rPr>
              <w:t xml:space="preserve">Respected author, while preparing your research paper you have to keep some important things in mind. You cannot change the template of any sort of journal. Your research title should not be longer than 15 words. In one paper there should not be more than 5 authors. The one-paragraph abstract should not exceed 200 words. There should be no references or citations in the abstract. There must be 5 to 8 keywords. The word limit of the paper should be 8000-10000 words including the bibliography. Use </w:t>
            </w:r>
            <w:proofErr w:type="spellStart"/>
            <w:r w:rsidRPr="00290AFC">
              <w:rPr>
                <w:rFonts w:ascii="Garamond" w:eastAsia="Garamond" w:hAnsi="Garamond" w:cs="Garamond"/>
                <w:color w:val="2A2A2A"/>
              </w:rPr>
              <w:t>Zotero</w:t>
            </w:r>
            <w:proofErr w:type="spellEnd"/>
            <w:r w:rsidRPr="00290AFC">
              <w:rPr>
                <w:rFonts w:ascii="Garamond" w:eastAsia="Garamond" w:hAnsi="Garamond" w:cs="Garamond"/>
                <w:color w:val="2A2A2A"/>
              </w:rPr>
              <w:t xml:space="preserve"> for references. The journal recommends APA 7th edition for in-text citations and bibliography. References should only be from journals or books. No reference should be without a DOI</w:t>
            </w:r>
            <w:bookmarkStart w:id="0" w:name="_GoBack"/>
            <w:bookmarkEnd w:id="0"/>
            <w:r w:rsidR="00A523AA">
              <w:rPr>
                <w:rFonts w:ascii="Garamond" w:eastAsia="Garamond" w:hAnsi="Garamond" w:cs="Garamond"/>
                <w:color w:val="2A2A2A"/>
              </w:rPr>
              <w:t>.</w:t>
            </w:r>
          </w:p>
          <w:p w:rsidR="00910212" w:rsidRDefault="00A523AA" w:rsidP="00CA2806">
            <w:pPr>
              <w:jc w:val="both"/>
            </w:pPr>
            <w:r w:rsidRPr="00CA2806">
              <w:rPr>
                <w:rFonts w:ascii="Georgia" w:eastAsia="Garamond" w:hAnsi="Georgia" w:cs="Garamond"/>
                <w:b/>
                <w:bCs/>
                <w:color w:val="0B1F3A"/>
              </w:rPr>
              <w:t>Keywords:</w:t>
            </w:r>
            <w:r>
              <w:rPr>
                <w:rFonts w:ascii="Garamond" w:eastAsia="Garamond" w:hAnsi="Garamond" w:cs="Garamond"/>
                <w:b/>
                <w:bCs/>
                <w:color w:val="0B1F3A"/>
              </w:rPr>
              <w:t xml:space="preserve"> </w:t>
            </w:r>
            <w:r>
              <w:rPr>
                <w:rFonts w:ascii="Garamond" w:eastAsia="Garamond" w:hAnsi="Garamond" w:cs="Garamond"/>
                <w:i/>
                <w:iCs/>
                <w:color w:val="58595B"/>
              </w:rPr>
              <w:t>cyber law · data sovereignty · cross-border data access · cloud governance · jurisdiction · mutual legal assistance</w:t>
            </w:r>
          </w:p>
        </w:tc>
      </w:tr>
    </w:tbl>
    <w:p w:rsidR="00910212" w:rsidRDefault="00910212">
      <w:pPr>
        <w:spacing w:before="260"/>
      </w:pPr>
    </w:p>
    <w:tbl>
      <w:tblPr>
        <w:tblW w:w="10080"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910212">
        <w:tc>
          <w:tcPr>
            <w:tcW w:w="10080" w:type="dxa"/>
            <w:tcBorders>
              <w:top w:val="single" w:sz="4" w:space="0" w:color="B48C3C"/>
              <w:left w:val="single" w:sz="4" w:space="0" w:color="B48C3C"/>
              <w:bottom w:val="single" w:sz="4" w:space="0" w:color="B48C3C"/>
              <w:right w:val="single" w:sz="4" w:space="0" w:color="B48C3C"/>
            </w:tcBorders>
            <w:shd w:val="clear" w:color="auto" w:fill="FFFFFF"/>
            <w:tcMar>
              <w:top w:w="140" w:type="dxa"/>
              <w:left w:w="260" w:type="dxa"/>
              <w:bottom w:w="140" w:type="dxa"/>
              <w:right w:w="260" w:type="dxa"/>
            </w:tcMar>
          </w:tcPr>
          <w:p w:rsidR="00910212" w:rsidRPr="00CA2806" w:rsidRDefault="00A523AA">
            <w:pPr>
              <w:spacing w:after="60"/>
              <w:rPr>
                <w:rFonts w:ascii="Georgia" w:hAnsi="Georgia"/>
              </w:rPr>
            </w:pPr>
            <w:r w:rsidRPr="00CA2806">
              <w:rPr>
                <w:rFonts w:ascii="Georgia" w:eastAsia="Calibri" w:hAnsi="Georgia" w:cs="Calibri"/>
                <w:b/>
                <w:bCs/>
                <w:color w:val="0B1F3A"/>
                <w:sz w:val="16"/>
                <w:szCs w:val="16"/>
              </w:rPr>
              <w:t>HOW TO CITE THIS ARTICLE  (APA 7th Edition)</w:t>
            </w:r>
          </w:p>
          <w:p w:rsidR="00910212" w:rsidRPr="00CA2806" w:rsidRDefault="00A523AA" w:rsidP="00CA2806">
            <w:pPr>
              <w:jc w:val="both"/>
              <w:rPr>
                <w:rFonts w:ascii="Garamond" w:hAnsi="Garamond"/>
              </w:rPr>
            </w:pPr>
            <w:proofErr w:type="spellStart"/>
            <w:r w:rsidRPr="00CA2806">
              <w:rPr>
                <w:rFonts w:ascii="Garamond" w:eastAsia="Calibri" w:hAnsi="Garamond" w:cs="Calibri"/>
                <w:color w:val="2A2A2A"/>
                <w:sz w:val="17"/>
                <w:szCs w:val="17"/>
              </w:rPr>
              <w:t>Karimova</w:t>
            </w:r>
            <w:proofErr w:type="spellEnd"/>
            <w:r w:rsidRPr="00CA2806">
              <w:rPr>
                <w:rFonts w:ascii="Garamond" w:eastAsia="Calibri" w:hAnsi="Garamond" w:cs="Calibri"/>
                <w:color w:val="2A2A2A"/>
                <w:sz w:val="17"/>
                <w:szCs w:val="17"/>
              </w:rPr>
              <w:t xml:space="preserve">, A. R., </w:t>
            </w:r>
            <w:proofErr w:type="spellStart"/>
            <w:r w:rsidRPr="00CA2806">
              <w:rPr>
                <w:rFonts w:ascii="Garamond" w:eastAsia="Calibri" w:hAnsi="Garamond" w:cs="Calibri"/>
                <w:color w:val="2A2A2A"/>
                <w:sz w:val="17"/>
                <w:szCs w:val="17"/>
              </w:rPr>
              <w:t>Islamov</w:t>
            </w:r>
            <w:proofErr w:type="spellEnd"/>
            <w:r w:rsidRPr="00CA2806">
              <w:rPr>
                <w:rFonts w:ascii="Garamond" w:eastAsia="Calibri" w:hAnsi="Garamond" w:cs="Calibri"/>
                <w:color w:val="2A2A2A"/>
                <w:sz w:val="17"/>
                <w:szCs w:val="17"/>
              </w:rPr>
              <w:t xml:space="preserve">, F. N., Chen, D. M., </w:t>
            </w:r>
            <w:proofErr w:type="spellStart"/>
            <w:r w:rsidRPr="00CA2806">
              <w:rPr>
                <w:rFonts w:ascii="Garamond" w:eastAsia="Calibri" w:hAnsi="Garamond" w:cs="Calibri"/>
                <w:color w:val="2A2A2A"/>
                <w:sz w:val="17"/>
                <w:szCs w:val="17"/>
              </w:rPr>
              <w:t>Bagirova</w:t>
            </w:r>
            <w:proofErr w:type="spellEnd"/>
            <w:r w:rsidRPr="00CA2806">
              <w:rPr>
                <w:rFonts w:ascii="Garamond" w:eastAsia="Calibri" w:hAnsi="Garamond" w:cs="Calibri"/>
                <w:color w:val="2A2A2A"/>
                <w:sz w:val="17"/>
                <w:szCs w:val="17"/>
              </w:rPr>
              <w:t xml:space="preserve">, L. S., &amp; </w:t>
            </w:r>
            <w:proofErr w:type="spellStart"/>
            <w:r w:rsidRPr="00CA2806">
              <w:rPr>
                <w:rFonts w:ascii="Garamond" w:eastAsia="Calibri" w:hAnsi="Garamond" w:cs="Calibri"/>
                <w:color w:val="2A2A2A"/>
                <w:sz w:val="17"/>
                <w:szCs w:val="17"/>
              </w:rPr>
              <w:t>Idris</w:t>
            </w:r>
            <w:proofErr w:type="spellEnd"/>
            <w:r w:rsidRPr="00CA2806">
              <w:rPr>
                <w:rFonts w:ascii="Garamond" w:eastAsia="Calibri" w:hAnsi="Garamond" w:cs="Calibri"/>
                <w:color w:val="2A2A2A"/>
                <w:sz w:val="17"/>
                <w:szCs w:val="17"/>
              </w:rPr>
              <w:t xml:space="preserve">, H. O. (2026). Sovereignty in the cloud: Jurisdictional conflicts in cross-border data governance. </w:t>
            </w:r>
            <w:r w:rsidRPr="00CA2806">
              <w:rPr>
                <w:rFonts w:ascii="Garamond" w:eastAsia="Calibri" w:hAnsi="Garamond" w:cs="Calibri"/>
                <w:i/>
                <w:iCs/>
                <w:color w:val="2A2A2A"/>
                <w:sz w:val="17"/>
                <w:szCs w:val="17"/>
              </w:rPr>
              <w:t>International Journal of Cyber Law</w:t>
            </w:r>
            <w:r w:rsidRPr="00CA2806">
              <w:rPr>
                <w:rFonts w:ascii="Garamond" w:eastAsia="Calibri" w:hAnsi="Garamond" w:cs="Calibri"/>
                <w:color w:val="2A2A2A"/>
                <w:sz w:val="17"/>
                <w:szCs w:val="17"/>
              </w:rPr>
              <w:t xml:space="preserve">, </w:t>
            </w:r>
            <w:r w:rsidRPr="00CA2806">
              <w:rPr>
                <w:rFonts w:ascii="Garamond" w:eastAsia="Calibri" w:hAnsi="Garamond" w:cs="Calibri"/>
                <w:i/>
                <w:iCs/>
                <w:color w:val="2A2A2A"/>
                <w:sz w:val="17"/>
                <w:szCs w:val="17"/>
              </w:rPr>
              <w:t>4</w:t>
            </w:r>
            <w:r w:rsidRPr="00CA2806">
              <w:rPr>
                <w:rFonts w:ascii="Garamond" w:eastAsia="Calibri" w:hAnsi="Garamond" w:cs="Calibri"/>
                <w:color w:val="2A2A2A"/>
                <w:sz w:val="17"/>
                <w:szCs w:val="17"/>
              </w:rPr>
              <w:t>(2), 112–138. https://doi.org/10.xxxxx/ijcl.v4i2.xxxx</w:t>
            </w:r>
          </w:p>
        </w:tc>
      </w:tr>
    </w:tbl>
    <w:p w:rsidR="00910212" w:rsidRDefault="00A523AA">
      <w:pPr>
        <w:spacing w:after="200"/>
      </w:pPr>
      <w:r>
        <w:br w:type="page"/>
      </w:r>
    </w:p>
    <w:p w:rsidR="00910212" w:rsidRPr="00CA2806" w:rsidRDefault="00A523AA">
      <w:pPr>
        <w:spacing w:before="320" w:after="140"/>
        <w:rPr>
          <w:rFonts w:ascii="Georgia" w:hAnsi="Georgia"/>
        </w:rPr>
      </w:pPr>
      <w:r w:rsidRPr="00CA2806">
        <w:rPr>
          <w:rFonts w:ascii="Georgia" w:eastAsia="Calibri" w:hAnsi="Georgia" w:cs="Calibri"/>
          <w:b/>
          <w:bCs/>
          <w:color w:val="0B1F3A"/>
          <w:sz w:val="25"/>
          <w:szCs w:val="25"/>
        </w:rPr>
        <w:lastRenderedPageBreak/>
        <w:t>I.  INTRODUCTION</w:t>
      </w:r>
    </w:p>
    <w:p w:rsidR="00910212" w:rsidRDefault="00A523AA" w:rsidP="00CA2806">
      <w:pPr>
        <w:spacing w:before="120" w:after="120"/>
        <w:ind w:firstLine="720"/>
        <w:jc w:val="both"/>
      </w:pPr>
      <w:r>
        <w:rPr>
          <w:rFonts w:ascii="Garamond" w:eastAsia="Garamond" w:hAnsi="Garamond" w:cs="Garamond"/>
          <w:color w:val="1A1A1A"/>
          <w:sz w:val="22"/>
          <w:szCs w:val="22"/>
        </w:rPr>
        <w:t>Cross-border data flows now underpin the ordinary operation of commercial cloud services, yet the legal doctrines governing state access to that data remain rooted in territorial assumptions formed long before distributed computing existed. This article situates that doctrinal gap within the broader literature on digital sovereignty and asks whether existing mutual legal assistance frameworks can be adapted, rather than replaced, to accommodate the operational realities of the modern cloud.</w:t>
      </w:r>
    </w:p>
    <w:p w:rsidR="00910212" w:rsidRPr="00CA2806" w:rsidRDefault="00A523AA">
      <w:pPr>
        <w:spacing w:before="320" w:after="140"/>
        <w:rPr>
          <w:rFonts w:ascii="Georgia" w:hAnsi="Georgia"/>
        </w:rPr>
      </w:pPr>
      <w:r w:rsidRPr="00CA2806">
        <w:rPr>
          <w:rFonts w:ascii="Georgia" w:eastAsia="Calibri" w:hAnsi="Georgia" w:cs="Calibri"/>
          <w:b/>
          <w:bCs/>
          <w:color w:val="0B1F3A"/>
          <w:sz w:val="25"/>
          <w:szCs w:val="25"/>
        </w:rPr>
        <w:t>II</w:t>
      </w:r>
      <w:r w:rsidR="00CA2806" w:rsidRPr="00CA2806">
        <w:rPr>
          <w:rFonts w:ascii="Georgia" w:eastAsia="Calibri" w:hAnsi="Georgia" w:cs="Calibri"/>
          <w:b/>
          <w:bCs/>
          <w:color w:val="0B1F3A"/>
          <w:sz w:val="25"/>
          <w:szCs w:val="25"/>
        </w:rPr>
        <w:t>. METHODOLOGY</w:t>
      </w:r>
    </w:p>
    <w:p w:rsidR="00910212" w:rsidRDefault="00A523AA" w:rsidP="00CA2806">
      <w:pPr>
        <w:spacing w:before="120" w:after="120"/>
        <w:ind w:firstLine="720"/>
        <w:jc w:val="both"/>
      </w:pPr>
      <w:r>
        <w:rPr>
          <w:rFonts w:ascii="Garamond" w:eastAsia="Garamond" w:hAnsi="Garamond" w:cs="Garamond"/>
          <w:color w:val="1A1A1A"/>
          <w:sz w:val="22"/>
          <w:szCs w:val="22"/>
        </w:rPr>
        <w:t xml:space="preserve">The study adopts a comparative doctrinal method, examining primary legislation and appellate case law from the European Union, the United States, and three Central Asian jurisdictions between 2015 and 2025. Secondary sources were drawn from peer-reviewed journals indexed in </w:t>
      </w:r>
      <w:proofErr w:type="spellStart"/>
      <w:r>
        <w:rPr>
          <w:rFonts w:ascii="Garamond" w:eastAsia="Garamond" w:hAnsi="Garamond" w:cs="Garamond"/>
          <w:color w:val="1A1A1A"/>
          <w:sz w:val="22"/>
          <w:szCs w:val="22"/>
        </w:rPr>
        <w:t>HeinOnline</w:t>
      </w:r>
      <w:proofErr w:type="spellEnd"/>
      <w:r>
        <w:rPr>
          <w:rFonts w:ascii="Garamond" w:eastAsia="Garamond" w:hAnsi="Garamond" w:cs="Garamond"/>
          <w:color w:val="1A1A1A"/>
          <w:sz w:val="22"/>
          <w:szCs w:val="22"/>
        </w:rPr>
        <w:t xml:space="preserve"> and Scopus, supplemented by policy documents issued by the Council of Europe and national data protection authorities.</w:t>
      </w:r>
    </w:p>
    <w:p w:rsidR="00910212" w:rsidRPr="00CA2806" w:rsidRDefault="00A523AA">
      <w:pPr>
        <w:spacing w:before="320" w:after="140"/>
        <w:rPr>
          <w:rFonts w:ascii="Georgia" w:hAnsi="Georgia"/>
        </w:rPr>
      </w:pPr>
      <w:r w:rsidRPr="00CA2806">
        <w:rPr>
          <w:rFonts w:ascii="Georgia" w:eastAsia="Calibri" w:hAnsi="Georgia" w:cs="Calibri"/>
          <w:b/>
          <w:bCs/>
          <w:color w:val="0B1F3A"/>
          <w:sz w:val="25"/>
          <w:szCs w:val="25"/>
        </w:rPr>
        <w:t>III</w:t>
      </w:r>
      <w:r w:rsidR="00CA2806" w:rsidRPr="00CA2806">
        <w:rPr>
          <w:rFonts w:ascii="Georgia" w:eastAsia="Calibri" w:hAnsi="Georgia" w:cs="Calibri"/>
          <w:b/>
          <w:bCs/>
          <w:color w:val="0B1F3A"/>
          <w:sz w:val="25"/>
          <w:szCs w:val="25"/>
        </w:rPr>
        <w:t>. RESULTS</w:t>
      </w:r>
    </w:p>
    <w:p w:rsidR="00910212" w:rsidRPr="00CA2806" w:rsidRDefault="00A523AA">
      <w:pPr>
        <w:spacing w:before="220" w:after="110"/>
        <w:ind w:left="360"/>
        <w:rPr>
          <w:rFonts w:ascii="Georgia" w:hAnsi="Georgia"/>
        </w:rPr>
      </w:pPr>
      <w:r w:rsidRPr="00CA2806">
        <w:rPr>
          <w:rFonts w:ascii="Georgia" w:eastAsia="Calibri" w:hAnsi="Georgia" w:cs="Calibri"/>
          <w:b/>
          <w:bCs/>
          <w:color w:val="0B1F3A"/>
          <w:sz w:val="22"/>
          <w:szCs w:val="22"/>
        </w:rPr>
        <w:t>A.  Comparative Legal Frameworks</w:t>
      </w:r>
    </w:p>
    <w:p w:rsidR="00910212" w:rsidRPr="00CA2806" w:rsidRDefault="00A523AA">
      <w:pPr>
        <w:spacing w:before="160" w:after="90"/>
        <w:ind w:left="720"/>
        <w:rPr>
          <w:rFonts w:ascii="Georgia" w:hAnsi="Georgia"/>
        </w:rPr>
      </w:pPr>
      <w:r w:rsidRPr="00CA2806">
        <w:rPr>
          <w:rFonts w:ascii="Georgia" w:eastAsia="Calibri" w:hAnsi="Georgia" w:cs="Calibri"/>
          <w:b/>
          <w:bCs/>
          <w:i/>
          <w:iCs/>
          <w:color w:val="58595B"/>
        </w:rPr>
        <w:t>1.  European Union Approach</w:t>
      </w:r>
    </w:p>
    <w:p w:rsidR="00910212" w:rsidRDefault="00A523AA" w:rsidP="00CA2806">
      <w:pPr>
        <w:spacing w:before="120" w:after="120"/>
        <w:ind w:firstLine="720"/>
        <w:jc w:val="both"/>
      </w:pPr>
      <w:r>
        <w:rPr>
          <w:rFonts w:ascii="Garamond" w:eastAsia="Garamond" w:hAnsi="Garamond" w:cs="Garamond"/>
          <w:color w:val="1A1A1A"/>
          <w:sz w:val="22"/>
          <w:szCs w:val="22"/>
        </w:rPr>
        <w:t>The General Data Protection Regulation and the e-Evidence Regulation together create a conditional-access model that permits cross-border production orders subject to notification safeguards for the state of the data subject's habitual residence.</w:t>
      </w:r>
    </w:p>
    <w:p w:rsidR="00910212" w:rsidRPr="00CA2806" w:rsidRDefault="00A523AA">
      <w:pPr>
        <w:spacing w:before="160" w:after="90"/>
        <w:ind w:left="720"/>
        <w:rPr>
          <w:rFonts w:ascii="Georgia" w:hAnsi="Georgia"/>
        </w:rPr>
      </w:pPr>
      <w:r w:rsidRPr="00CA2806">
        <w:rPr>
          <w:rFonts w:ascii="Georgia" w:eastAsia="Calibri" w:hAnsi="Georgia" w:cs="Calibri"/>
          <w:b/>
          <w:bCs/>
          <w:i/>
          <w:iCs/>
          <w:color w:val="58595B"/>
        </w:rPr>
        <w:t>2.  United States Approach</w:t>
      </w:r>
    </w:p>
    <w:p w:rsidR="00910212" w:rsidRDefault="00A523AA" w:rsidP="00CA2806">
      <w:pPr>
        <w:spacing w:before="120" w:after="120"/>
        <w:ind w:firstLine="720"/>
        <w:jc w:val="both"/>
      </w:pPr>
      <w:r>
        <w:rPr>
          <w:rFonts w:ascii="Garamond" w:eastAsia="Garamond" w:hAnsi="Garamond" w:cs="Garamond"/>
          <w:color w:val="1A1A1A"/>
          <w:sz w:val="22"/>
          <w:szCs w:val="22"/>
        </w:rPr>
        <w:t xml:space="preserve">The CLOUD Act </w:t>
      </w:r>
      <w:proofErr w:type="spellStart"/>
      <w:r>
        <w:rPr>
          <w:rFonts w:ascii="Garamond" w:eastAsia="Garamond" w:hAnsi="Garamond" w:cs="Garamond"/>
          <w:color w:val="1A1A1A"/>
          <w:sz w:val="22"/>
          <w:szCs w:val="22"/>
        </w:rPr>
        <w:t>authorises</w:t>
      </w:r>
      <w:proofErr w:type="spellEnd"/>
      <w:r>
        <w:rPr>
          <w:rFonts w:ascii="Garamond" w:eastAsia="Garamond" w:hAnsi="Garamond" w:cs="Garamond"/>
          <w:color w:val="1A1A1A"/>
          <w:sz w:val="22"/>
          <w:szCs w:val="22"/>
        </w:rPr>
        <w:t xml:space="preserve"> unilateral production orders against US-based providers regardless of data location, subject to comity analysis and, where an executive agreement exists, reciprocal qualifying-state review.</w:t>
      </w:r>
    </w:p>
    <w:p w:rsidR="00910212" w:rsidRPr="00CA2806" w:rsidRDefault="00A523AA">
      <w:pPr>
        <w:spacing w:before="220" w:after="110"/>
        <w:ind w:left="360"/>
        <w:rPr>
          <w:rFonts w:ascii="Georgia" w:hAnsi="Georgia"/>
        </w:rPr>
      </w:pPr>
      <w:r w:rsidRPr="00CA2806">
        <w:rPr>
          <w:rFonts w:ascii="Georgia" w:eastAsia="Calibri" w:hAnsi="Georgia" w:cs="Calibri"/>
          <w:b/>
          <w:bCs/>
          <w:color w:val="0B1F3A"/>
          <w:sz w:val="22"/>
          <w:szCs w:val="22"/>
        </w:rPr>
        <w:t>B.  Empirical Findings</w:t>
      </w:r>
    </w:p>
    <w:p w:rsidR="00910212" w:rsidRPr="00CA2806" w:rsidRDefault="00A523AA">
      <w:pPr>
        <w:spacing w:before="160" w:after="90"/>
        <w:ind w:left="720"/>
        <w:rPr>
          <w:rFonts w:ascii="Georgia" w:hAnsi="Georgia"/>
        </w:rPr>
      </w:pPr>
      <w:r w:rsidRPr="00CA2806">
        <w:rPr>
          <w:rFonts w:ascii="Georgia" w:eastAsia="Calibri" w:hAnsi="Georgia" w:cs="Calibri"/>
          <w:b/>
          <w:bCs/>
          <w:i/>
          <w:iCs/>
          <w:color w:val="58595B"/>
        </w:rPr>
        <w:t>1.  Frequency of Cross-Border Requests</w:t>
      </w:r>
    </w:p>
    <w:p w:rsidR="00910212" w:rsidRDefault="00A523AA" w:rsidP="00CA2806">
      <w:pPr>
        <w:spacing w:before="120" w:after="120"/>
        <w:ind w:firstLine="720"/>
        <w:jc w:val="both"/>
      </w:pPr>
      <w:r>
        <w:rPr>
          <w:rFonts w:ascii="Garamond" w:eastAsia="Garamond" w:hAnsi="Garamond" w:cs="Garamond"/>
          <w:color w:val="1A1A1A"/>
          <w:sz w:val="22"/>
          <w:szCs w:val="22"/>
        </w:rPr>
        <w:t>Analysis of published transparency reports indicates a sustained year-on-year increase in cross-border production requests across all three surveyed regions, with the sharpest growth recorded in requests directed at infrastructure-as-a-service providers.</w:t>
      </w:r>
    </w:p>
    <w:p w:rsidR="00910212" w:rsidRPr="00CA2806" w:rsidRDefault="00A523AA">
      <w:pPr>
        <w:spacing w:before="160" w:after="90"/>
        <w:ind w:left="720"/>
        <w:rPr>
          <w:rFonts w:ascii="Georgia" w:hAnsi="Georgia"/>
        </w:rPr>
      </w:pPr>
      <w:r w:rsidRPr="00CA2806">
        <w:rPr>
          <w:rFonts w:ascii="Georgia" w:eastAsia="Calibri" w:hAnsi="Georgia" w:cs="Calibri"/>
          <w:b/>
          <w:bCs/>
          <w:i/>
          <w:iCs/>
          <w:color w:val="58595B"/>
        </w:rPr>
        <w:t>2.  Judicial Treatment of Comity</w:t>
      </w:r>
    </w:p>
    <w:p w:rsidR="00910212" w:rsidRDefault="00A523AA" w:rsidP="00CA2806">
      <w:pPr>
        <w:spacing w:before="120" w:after="120"/>
        <w:ind w:firstLine="720"/>
        <w:jc w:val="both"/>
      </w:pPr>
      <w:r>
        <w:rPr>
          <w:rFonts w:ascii="Garamond" w:eastAsia="Garamond" w:hAnsi="Garamond" w:cs="Garamond"/>
          <w:color w:val="1A1A1A"/>
          <w:sz w:val="22"/>
          <w:szCs w:val="22"/>
        </w:rPr>
        <w:t>Courts in the surveyed jurisdictions apply comity analysis inconsistently, with only a minority conducting the multi-factor balancing test contemplated by the Restatement (Third) of Foreign Relations Law.</w:t>
      </w:r>
    </w:p>
    <w:p w:rsidR="00910212" w:rsidRPr="00CA2806" w:rsidRDefault="00A523AA">
      <w:pPr>
        <w:spacing w:before="320" w:after="140"/>
        <w:rPr>
          <w:rFonts w:ascii="Georgia" w:hAnsi="Georgia"/>
        </w:rPr>
      </w:pPr>
      <w:r w:rsidRPr="00CA2806">
        <w:rPr>
          <w:rFonts w:ascii="Georgia" w:eastAsia="Calibri" w:hAnsi="Georgia" w:cs="Calibri"/>
          <w:b/>
          <w:bCs/>
          <w:color w:val="0B1F3A"/>
          <w:sz w:val="25"/>
          <w:szCs w:val="25"/>
        </w:rPr>
        <w:t>IV</w:t>
      </w:r>
      <w:r w:rsidR="00CA2806" w:rsidRPr="00CA2806">
        <w:rPr>
          <w:rFonts w:ascii="Georgia" w:eastAsia="Calibri" w:hAnsi="Georgia" w:cs="Calibri"/>
          <w:b/>
          <w:bCs/>
          <w:color w:val="0B1F3A"/>
          <w:sz w:val="25"/>
          <w:szCs w:val="25"/>
        </w:rPr>
        <w:t>. DISCUSSION</w:t>
      </w:r>
    </w:p>
    <w:p w:rsidR="00910212" w:rsidRPr="00CA2806" w:rsidRDefault="00A523AA">
      <w:pPr>
        <w:spacing w:before="220" w:after="110"/>
        <w:ind w:left="360"/>
        <w:rPr>
          <w:rFonts w:ascii="Georgia" w:hAnsi="Georgia"/>
        </w:rPr>
      </w:pPr>
      <w:r w:rsidRPr="00CA2806">
        <w:rPr>
          <w:rFonts w:ascii="Georgia" w:eastAsia="Calibri" w:hAnsi="Georgia" w:cs="Calibri"/>
          <w:b/>
          <w:bCs/>
          <w:color w:val="0B1F3A"/>
          <w:sz w:val="22"/>
          <w:szCs w:val="22"/>
        </w:rPr>
        <w:t>A.  Toward Conditional Sovereignty</w:t>
      </w:r>
    </w:p>
    <w:p w:rsidR="00910212" w:rsidRPr="00CA2806" w:rsidRDefault="00A523AA">
      <w:pPr>
        <w:spacing w:before="160" w:after="90"/>
        <w:ind w:left="720"/>
        <w:rPr>
          <w:rFonts w:ascii="Georgia" w:hAnsi="Georgia"/>
        </w:rPr>
      </w:pPr>
      <w:r w:rsidRPr="00CA2806">
        <w:rPr>
          <w:rFonts w:ascii="Georgia" w:eastAsia="Calibri" w:hAnsi="Georgia" w:cs="Calibri"/>
          <w:b/>
          <w:bCs/>
          <w:i/>
          <w:iCs/>
          <w:color w:val="58595B"/>
        </w:rPr>
        <w:t>1.  A Layered Analytical Model</w:t>
      </w:r>
    </w:p>
    <w:p w:rsidR="00910212" w:rsidRDefault="00A523AA" w:rsidP="00CA2806">
      <w:pPr>
        <w:spacing w:before="120" w:after="120"/>
        <w:ind w:firstLine="720"/>
        <w:jc w:val="both"/>
      </w:pPr>
      <w:r>
        <w:rPr>
          <w:rFonts w:ascii="Garamond" w:eastAsia="Garamond" w:hAnsi="Garamond" w:cs="Garamond"/>
          <w:color w:val="1A1A1A"/>
          <w:sz w:val="22"/>
          <w:szCs w:val="22"/>
        </w:rPr>
        <w:t>The findings support a layered model of conditional sovereignty in which the strength of a state's jurisdictional claim varies with the nature of the data, the residency of the data subject, and the degree of infrastructural control exercised by the requested provider.</w:t>
      </w:r>
    </w:p>
    <w:p w:rsidR="00910212" w:rsidRPr="00CA2806" w:rsidRDefault="00A523AA">
      <w:pPr>
        <w:spacing w:before="220" w:after="110"/>
        <w:ind w:left="360"/>
        <w:rPr>
          <w:rFonts w:ascii="Georgia" w:hAnsi="Georgia"/>
        </w:rPr>
      </w:pPr>
      <w:r w:rsidRPr="00CA2806">
        <w:rPr>
          <w:rFonts w:ascii="Georgia" w:eastAsia="Calibri" w:hAnsi="Georgia" w:cs="Calibri"/>
          <w:b/>
          <w:bCs/>
          <w:color w:val="0B1F3A"/>
          <w:sz w:val="22"/>
          <w:szCs w:val="22"/>
        </w:rPr>
        <w:t>B.  Policy Implications</w:t>
      </w:r>
    </w:p>
    <w:p w:rsidR="00910212" w:rsidRPr="00CA2806" w:rsidRDefault="00A523AA">
      <w:pPr>
        <w:spacing w:before="160" w:after="90"/>
        <w:ind w:left="720"/>
        <w:rPr>
          <w:rFonts w:ascii="Georgia" w:hAnsi="Georgia"/>
        </w:rPr>
      </w:pPr>
      <w:r w:rsidRPr="00CA2806">
        <w:rPr>
          <w:rFonts w:ascii="Georgia" w:eastAsia="Calibri" w:hAnsi="Georgia" w:cs="Calibri"/>
          <w:b/>
          <w:bCs/>
          <w:i/>
          <w:iCs/>
          <w:color w:val="58595B"/>
        </w:rPr>
        <w:t xml:space="preserve">1.  </w:t>
      </w:r>
      <w:proofErr w:type="spellStart"/>
      <w:r w:rsidRPr="00CA2806">
        <w:rPr>
          <w:rFonts w:ascii="Georgia" w:eastAsia="Calibri" w:hAnsi="Georgia" w:cs="Calibri"/>
          <w:b/>
          <w:bCs/>
          <w:i/>
          <w:iCs/>
          <w:color w:val="58595B"/>
        </w:rPr>
        <w:t>Harmonising</w:t>
      </w:r>
      <w:proofErr w:type="spellEnd"/>
      <w:r w:rsidRPr="00CA2806">
        <w:rPr>
          <w:rFonts w:ascii="Georgia" w:eastAsia="Calibri" w:hAnsi="Georgia" w:cs="Calibri"/>
          <w:b/>
          <w:bCs/>
          <w:i/>
          <w:iCs/>
          <w:color w:val="58595B"/>
        </w:rPr>
        <w:t xml:space="preserve"> Mutual Legal Assistance</w:t>
      </w:r>
    </w:p>
    <w:p w:rsidR="00910212" w:rsidRDefault="00A523AA" w:rsidP="00CA2806">
      <w:pPr>
        <w:spacing w:before="120" w:after="120"/>
        <w:ind w:firstLine="720"/>
        <w:jc w:val="both"/>
      </w:pPr>
      <w:r>
        <w:rPr>
          <w:rFonts w:ascii="Garamond" w:eastAsia="Garamond" w:hAnsi="Garamond" w:cs="Garamond"/>
          <w:color w:val="1A1A1A"/>
          <w:sz w:val="22"/>
          <w:szCs w:val="22"/>
        </w:rPr>
        <w:t xml:space="preserve">Reform efforts should </w:t>
      </w:r>
      <w:proofErr w:type="spellStart"/>
      <w:r>
        <w:rPr>
          <w:rFonts w:ascii="Garamond" w:eastAsia="Garamond" w:hAnsi="Garamond" w:cs="Garamond"/>
          <w:color w:val="1A1A1A"/>
          <w:sz w:val="22"/>
          <w:szCs w:val="22"/>
        </w:rPr>
        <w:t>prioritise</w:t>
      </w:r>
      <w:proofErr w:type="spellEnd"/>
      <w:r>
        <w:rPr>
          <w:rFonts w:ascii="Garamond" w:eastAsia="Garamond" w:hAnsi="Garamond" w:cs="Garamond"/>
          <w:color w:val="1A1A1A"/>
          <w:sz w:val="22"/>
          <w:szCs w:val="22"/>
        </w:rPr>
        <w:t xml:space="preserve"> procedural </w:t>
      </w:r>
      <w:proofErr w:type="spellStart"/>
      <w:r>
        <w:rPr>
          <w:rFonts w:ascii="Garamond" w:eastAsia="Garamond" w:hAnsi="Garamond" w:cs="Garamond"/>
          <w:color w:val="1A1A1A"/>
          <w:sz w:val="22"/>
          <w:szCs w:val="22"/>
        </w:rPr>
        <w:t>harmonisation</w:t>
      </w:r>
      <w:proofErr w:type="spellEnd"/>
      <w:r>
        <w:rPr>
          <w:rFonts w:ascii="Garamond" w:eastAsia="Garamond" w:hAnsi="Garamond" w:cs="Garamond"/>
          <w:color w:val="1A1A1A"/>
          <w:sz w:val="22"/>
          <w:szCs w:val="22"/>
        </w:rPr>
        <w:t xml:space="preserve"> of notification and challenge mechanisms over wholesale jurisdictional reallocation, which is unlikely to secure the multilateral consensus required for durable treaty reform.</w:t>
      </w:r>
    </w:p>
    <w:p w:rsidR="00910212" w:rsidRPr="00CA2806" w:rsidRDefault="00A523AA">
      <w:pPr>
        <w:spacing w:before="320" w:after="160"/>
        <w:jc w:val="center"/>
        <w:rPr>
          <w:rFonts w:ascii="Georgia" w:hAnsi="Georgia"/>
        </w:rPr>
      </w:pPr>
      <w:r w:rsidRPr="00CA2806">
        <w:rPr>
          <w:rFonts w:ascii="Georgia" w:eastAsia="Calibri" w:hAnsi="Georgia" w:cs="Calibri"/>
          <w:b/>
          <w:bCs/>
          <w:color w:val="0B1F3A"/>
          <w:sz w:val="28"/>
          <w:szCs w:val="28"/>
        </w:rPr>
        <w:lastRenderedPageBreak/>
        <w:t>CONCLUSION</w:t>
      </w:r>
    </w:p>
    <w:p w:rsidR="00910212" w:rsidRDefault="00A523AA" w:rsidP="00CA2806">
      <w:pPr>
        <w:spacing w:before="120" w:after="120"/>
        <w:ind w:firstLine="720"/>
        <w:jc w:val="both"/>
      </w:pPr>
      <w:r>
        <w:rPr>
          <w:rFonts w:ascii="Garamond" w:eastAsia="Garamond" w:hAnsi="Garamond" w:cs="Garamond"/>
          <w:color w:val="1A1A1A"/>
          <w:sz w:val="22"/>
          <w:szCs w:val="22"/>
        </w:rPr>
        <w:t xml:space="preserve">This article has argued that the doctrinal friction between data </w:t>
      </w:r>
      <w:proofErr w:type="spellStart"/>
      <w:r>
        <w:rPr>
          <w:rFonts w:ascii="Garamond" w:eastAsia="Garamond" w:hAnsi="Garamond" w:cs="Garamond"/>
          <w:color w:val="1A1A1A"/>
          <w:sz w:val="22"/>
          <w:szCs w:val="22"/>
        </w:rPr>
        <w:t>localisation</w:t>
      </w:r>
      <w:proofErr w:type="spellEnd"/>
      <w:r>
        <w:rPr>
          <w:rFonts w:ascii="Garamond" w:eastAsia="Garamond" w:hAnsi="Garamond" w:cs="Garamond"/>
          <w:color w:val="1A1A1A"/>
          <w:sz w:val="22"/>
          <w:szCs w:val="22"/>
        </w:rPr>
        <w:t xml:space="preserve"> and cross-border access is best resolved through a layered model of conditional sovereignty rather than through binary rules </w:t>
      </w:r>
      <w:proofErr w:type="spellStart"/>
      <w:r>
        <w:rPr>
          <w:rFonts w:ascii="Garamond" w:eastAsia="Garamond" w:hAnsi="Garamond" w:cs="Garamond"/>
          <w:color w:val="1A1A1A"/>
          <w:sz w:val="22"/>
          <w:szCs w:val="22"/>
        </w:rPr>
        <w:t>favouring</w:t>
      </w:r>
      <w:proofErr w:type="spellEnd"/>
      <w:r>
        <w:rPr>
          <w:rFonts w:ascii="Garamond" w:eastAsia="Garamond" w:hAnsi="Garamond" w:cs="Garamond"/>
          <w:color w:val="1A1A1A"/>
          <w:sz w:val="22"/>
          <w:szCs w:val="22"/>
        </w:rPr>
        <w:t xml:space="preserve"> either strict territoriality or unrestrained extraterritorial access. Future research should test this model against emerging state practice in jurisdictions not covered by the present comparative sample.</w:t>
      </w:r>
    </w:p>
    <w:p w:rsidR="00910212" w:rsidRDefault="00910212">
      <w:pPr>
        <w:spacing w:before="260" w:after="100"/>
      </w:pPr>
    </w:p>
    <w:p w:rsidR="00910212" w:rsidRDefault="00A523AA">
      <w:pPr>
        <w:spacing w:after="130"/>
        <w:jc w:val="both"/>
      </w:pPr>
      <w:r w:rsidRPr="00CA2806">
        <w:rPr>
          <w:rFonts w:ascii="Georgia" w:eastAsia="Calibri" w:hAnsi="Georgia" w:cs="Calibri"/>
          <w:b/>
          <w:bCs/>
          <w:color w:val="0B1F3A"/>
          <w:sz w:val="21"/>
          <w:szCs w:val="21"/>
        </w:rPr>
        <w:t>Ethical Statement:</w:t>
      </w:r>
      <w:r>
        <w:rPr>
          <w:rFonts w:ascii="Calibri" w:eastAsia="Calibri" w:hAnsi="Calibri" w:cs="Calibri"/>
          <w:b/>
          <w:bCs/>
          <w:color w:val="0B1F3A"/>
          <w:sz w:val="21"/>
          <w:szCs w:val="21"/>
        </w:rPr>
        <w:t xml:space="preserve"> </w:t>
      </w:r>
      <w:r>
        <w:rPr>
          <w:rFonts w:ascii="Garamond" w:eastAsia="Garamond" w:hAnsi="Garamond" w:cs="Garamond"/>
          <w:color w:val="1A1A1A"/>
          <w:sz w:val="21"/>
          <w:szCs w:val="21"/>
        </w:rPr>
        <w:t>This study did not involve human or animal subjects and therefore did not require ethical approval from an institutional review board.</w:t>
      </w:r>
    </w:p>
    <w:p w:rsidR="00910212" w:rsidRDefault="00A523AA">
      <w:pPr>
        <w:spacing w:after="130"/>
        <w:jc w:val="both"/>
      </w:pPr>
      <w:r w:rsidRPr="00CA2806">
        <w:rPr>
          <w:rFonts w:ascii="Georgia" w:eastAsia="Calibri" w:hAnsi="Georgia" w:cs="Calibri"/>
          <w:b/>
          <w:bCs/>
          <w:color w:val="0B1F3A"/>
          <w:sz w:val="21"/>
          <w:szCs w:val="21"/>
        </w:rPr>
        <w:t>Data Availability Statement:</w:t>
      </w:r>
      <w:r>
        <w:rPr>
          <w:rFonts w:ascii="Calibri" w:eastAsia="Calibri" w:hAnsi="Calibri" w:cs="Calibri"/>
          <w:b/>
          <w:bCs/>
          <w:color w:val="0B1F3A"/>
          <w:sz w:val="21"/>
          <w:szCs w:val="21"/>
        </w:rPr>
        <w:t xml:space="preserve"> </w:t>
      </w:r>
      <w:r>
        <w:rPr>
          <w:rFonts w:ascii="Garamond" w:eastAsia="Garamond" w:hAnsi="Garamond" w:cs="Garamond"/>
          <w:color w:val="1A1A1A"/>
          <w:sz w:val="21"/>
          <w:szCs w:val="21"/>
        </w:rPr>
        <w:t xml:space="preserve">The datasets </w:t>
      </w:r>
      <w:proofErr w:type="spellStart"/>
      <w:r>
        <w:rPr>
          <w:rFonts w:ascii="Garamond" w:eastAsia="Garamond" w:hAnsi="Garamond" w:cs="Garamond"/>
          <w:color w:val="1A1A1A"/>
          <w:sz w:val="21"/>
          <w:szCs w:val="21"/>
        </w:rPr>
        <w:t>analysed</w:t>
      </w:r>
      <w:proofErr w:type="spellEnd"/>
      <w:r>
        <w:rPr>
          <w:rFonts w:ascii="Garamond" w:eastAsia="Garamond" w:hAnsi="Garamond" w:cs="Garamond"/>
          <w:color w:val="1A1A1A"/>
          <w:sz w:val="21"/>
          <w:szCs w:val="21"/>
        </w:rPr>
        <w:t xml:space="preserve"> during the current study are available from the corresponding author upon reasonable request.</w:t>
      </w:r>
    </w:p>
    <w:p w:rsidR="00910212" w:rsidRDefault="00A523AA">
      <w:pPr>
        <w:spacing w:after="130"/>
        <w:jc w:val="both"/>
      </w:pPr>
      <w:r w:rsidRPr="00CA2806">
        <w:rPr>
          <w:rFonts w:ascii="Georgia" w:eastAsia="Calibri" w:hAnsi="Georgia" w:cs="Calibri"/>
          <w:b/>
          <w:bCs/>
          <w:color w:val="0B1F3A"/>
          <w:sz w:val="21"/>
          <w:szCs w:val="21"/>
        </w:rPr>
        <w:t>AI Declaration:</w:t>
      </w:r>
      <w:r>
        <w:rPr>
          <w:rFonts w:ascii="Calibri" w:eastAsia="Calibri" w:hAnsi="Calibri" w:cs="Calibri"/>
          <w:b/>
          <w:bCs/>
          <w:color w:val="0B1F3A"/>
          <w:sz w:val="21"/>
          <w:szCs w:val="21"/>
        </w:rPr>
        <w:t xml:space="preserve"> </w:t>
      </w:r>
      <w:r>
        <w:rPr>
          <w:rFonts w:ascii="Garamond" w:eastAsia="Garamond" w:hAnsi="Garamond" w:cs="Garamond"/>
          <w:color w:val="1A1A1A"/>
          <w:sz w:val="21"/>
          <w:szCs w:val="21"/>
        </w:rPr>
        <w:t>The authors did not use generative artificial intelligence tools in the substantive legal analysis or drafting of this manuscript.</w:t>
      </w:r>
    </w:p>
    <w:p w:rsidR="00910212" w:rsidRDefault="00A523AA">
      <w:pPr>
        <w:spacing w:after="130"/>
        <w:jc w:val="both"/>
      </w:pPr>
      <w:r w:rsidRPr="00CA2806">
        <w:rPr>
          <w:rFonts w:ascii="Georgia" w:eastAsia="Calibri" w:hAnsi="Georgia" w:cs="Calibri"/>
          <w:b/>
          <w:bCs/>
          <w:color w:val="0B1F3A"/>
          <w:sz w:val="21"/>
          <w:szCs w:val="21"/>
        </w:rPr>
        <w:t>Conflict of Interest Statement:</w:t>
      </w:r>
      <w:r>
        <w:rPr>
          <w:rFonts w:ascii="Calibri" w:eastAsia="Calibri" w:hAnsi="Calibri" w:cs="Calibri"/>
          <w:b/>
          <w:bCs/>
          <w:color w:val="0B1F3A"/>
          <w:sz w:val="21"/>
          <w:szCs w:val="21"/>
        </w:rPr>
        <w:t xml:space="preserve"> </w:t>
      </w:r>
      <w:r>
        <w:rPr>
          <w:rFonts w:ascii="Garamond" w:eastAsia="Garamond" w:hAnsi="Garamond" w:cs="Garamond"/>
          <w:color w:val="1A1A1A"/>
          <w:sz w:val="21"/>
          <w:szCs w:val="21"/>
        </w:rPr>
        <w:t>The authors declare that they have no known competing financial interests or personal relationships that could have influenced the work reported in this article.</w:t>
      </w:r>
    </w:p>
    <w:p w:rsidR="00910212" w:rsidRDefault="00A523AA">
      <w:pPr>
        <w:spacing w:after="130"/>
        <w:jc w:val="both"/>
      </w:pPr>
      <w:r w:rsidRPr="00CA2806">
        <w:rPr>
          <w:rFonts w:ascii="Georgia" w:eastAsia="Calibri" w:hAnsi="Georgia" w:cs="Calibri"/>
          <w:b/>
          <w:bCs/>
          <w:color w:val="0B1F3A"/>
          <w:sz w:val="21"/>
          <w:szCs w:val="21"/>
        </w:rPr>
        <w:t>Funding Statement</w:t>
      </w:r>
      <w:r>
        <w:rPr>
          <w:rFonts w:ascii="Calibri" w:eastAsia="Calibri" w:hAnsi="Calibri" w:cs="Calibri"/>
          <w:b/>
          <w:bCs/>
          <w:color w:val="0B1F3A"/>
          <w:sz w:val="21"/>
          <w:szCs w:val="21"/>
        </w:rPr>
        <w:t xml:space="preserve">: </w:t>
      </w:r>
      <w:r>
        <w:rPr>
          <w:rFonts w:ascii="Garamond" w:eastAsia="Garamond" w:hAnsi="Garamond" w:cs="Garamond"/>
          <w:color w:val="1A1A1A"/>
          <w:sz w:val="21"/>
          <w:szCs w:val="21"/>
        </w:rPr>
        <w:t>This research received no specific grant from any funding agency in the public, commercial, or not-for-profit sectors.</w:t>
      </w:r>
    </w:p>
    <w:p w:rsidR="00910212" w:rsidRPr="00CA2806" w:rsidRDefault="00A523AA">
      <w:pPr>
        <w:spacing w:before="320" w:after="200"/>
        <w:jc w:val="center"/>
        <w:rPr>
          <w:rFonts w:ascii="Georgia" w:hAnsi="Georgia"/>
        </w:rPr>
      </w:pPr>
      <w:r w:rsidRPr="00CA2806">
        <w:rPr>
          <w:rFonts w:ascii="Georgia" w:eastAsia="Calibri" w:hAnsi="Georgia" w:cs="Calibri"/>
          <w:b/>
          <w:bCs/>
          <w:color w:val="0B1F3A"/>
          <w:sz w:val="28"/>
          <w:szCs w:val="28"/>
        </w:rPr>
        <w:t>BIBLIOGRAPHY</w:t>
      </w:r>
    </w:p>
    <w:p w:rsidR="00910212" w:rsidRPr="00CA2806" w:rsidRDefault="00A523AA" w:rsidP="00CA2806">
      <w:pPr>
        <w:spacing w:before="120" w:after="120"/>
        <w:ind w:left="360" w:hanging="360"/>
        <w:jc w:val="both"/>
        <w:rPr>
          <w:sz w:val="24"/>
        </w:rPr>
      </w:pPr>
      <w:proofErr w:type="spellStart"/>
      <w:r w:rsidRPr="00CA2806">
        <w:rPr>
          <w:rFonts w:ascii="Garamond" w:eastAsia="Garamond" w:hAnsi="Garamond" w:cs="Garamond"/>
          <w:color w:val="1A1A1A"/>
          <w:sz w:val="24"/>
          <w:szCs w:val="21"/>
        </w:rPr>
        <w:t>Bagirova</w:t>
      </w:r>
      <w:proofErr w:type="spellEnd"/>
      <w:r w:rsidRPr="00CA2806">
        <w:rPr>
          <w:rFonts w:ascii="Garamond" w:eastAsia="Garamond" w:hAnsi="Garamond" w:cs="Garamond"/>
          <w:color w:val="1A1A1A"/>
          <w:sz w:val="24"/>
          <w:szCs w:val="21"/>
        </w:rPr>
        <w:t xml:space="preserve">, L. S. (2023). </w:t>
      </w:r>
      <w:proofErr w:type="gramStart"/>
      <w:r w:rsidRPr="00CA2806">
        <w:rPr>
          <w:rFonts w:ascii="Garamond" w:eastAsia="Garamond" w:hAnsi="Garamond" w:cs="Garamond"/>
          <w:color w:val="1A1A1A"/>
          <w:sz w:val="24"/>
          <w:szCs w:val="21"/>
        </w:rPr>
        <w:t xml:space="preserve">Data </w:t>
      </w:r>
      <w:proofErr w:type="spellStart"/>
      <w:r w:rsidRPr="00CA2806">
        <w:rPr>
          <w:rFonts w:ascii="Garamond" w:eastAsia="Garamond" w:hAnsi="Garamond" w:cs="Garamond"/>
          <w:color w:val="1A1A1A"/>
          <w:sz w:val="24"/>
          <w:szCs w:val="21"/>
        </w:rPr>
        <w:t>localisation</w:t>
      </w:r>
      <w:proofErr w:type="spellEnd"/>
      <w:r w:rsidRPr="00CA2806">
        <w:rPr>
          <w:rFonts w:ascii="Garamond" w:eastAsia="Garamond" w:hAnsi="Garamond" w:cs="Garamond"/>
          <w:color w:val="1A1A1A"/>
          <w:sz w:val="24"/>
          <w:szCs w:val="21"/>
        </w:rPr>
        <w:t xml:space="preserve"> and the future of cross-border investigations.</w:t>
      </w:r>
      <w:proofErr w:type="gramEnd"/>
      <w:r w:rsidRPr="00CA2806">
        <w:rPr>
          <w:rFonts w:ascii="Garamond" w:eastAsia="Garamond" w:hAnsi="Garamond" w:cs="Garamond"/>
          <w:color w:val="1A1A1A"/>
          <w:sz w:val="24"/>
          <w:szCs w:val="21"/>
        </w:rPr>
        <w:t xml:space="preserve"> </w:t>
      </w:r>
      <w:r w:rsidRPr="00CA2806">
        <w:rPr>
          <w:rFonts w:ascii="Garamond" w:eastAsia="Garamond" w:hAnsi="Garamond" w:cs="Garamond"/>
          <w:i/>
          <w:iCs/>
          <w:color w:val="1A1A1A"/>
          <w:sz w:val="24"/>
          <w:szCs w:val="21"/>
        </w:rPr>
        <w:t>Journal of International Cyber Policy</w:t>
      </w:r>
      <w:r w:rsidRPr="00CA2806">
        <w:rPr>
          <w:rFonts w:ascii="Garamond" w:eastAsia="Garamond" w:hAnsi="Garamond" w:cs="Garamond"/>
          <w:color w:val="1A1A1A"/>
          <w:sz w:val="24"/>
          <w:szCs w:val="21"/>
        </w:rPr>
        <w:t>, 12(3), 45–67. https://doi.org/10.xxxx/jicp.2023.0123</w:t>
      </w:r>
    </w:p>
    <w:p w:rsidR="00910212" w:rsidRPr="00CA2806" w:rsidRDefault="00A523AA" w:rsidP="00CA2806">
      <w:pPr>
        <w:spacing w:before="120" w:after="120"/>
        <w:ind w:left="360" w:hanging="360"/>
        <w:jc w:val="both"/>
        <w:rPr>
          <w:sz w:val="24"/>
        </w:rPr>
      </w:pPr>
      <w:proofErr w:type="gramStart"/>
      <w:r w:rsidRPr="00CA2806">
        <w:rPr>
          <w:rFonts w:ascii="Garamond" w:eastAsia="Garamond" w:hAnsi="Garamond" w:cs="Garamond"/>
          <w:color w:val="1A1A1A"/>
          <w:sz w:val="24"/>
          <w:szCs w:val="21"/>
        </w:rPr>
        <w:t>Chen, D. M. (2025).</w:t>
      </w:r>
      <w:proofErr w:type="gramEnd"/>
      <w:r w:rsidRPr="00CA2806">
        <w:rPr>
          <w:rFonts w:ascii="Garamond" w:eastAsia="Garamond" w:hAnsi="Garamond" w:cs="Garamond"/>
          <w:color w:val="1A1A1A"/>
          <w:sz w:val="24"/>
          <w:szCs w:val="21"/>
        </w:rPr>
        <w:t xml:space="preserve"> </w:t>
      </w:r>
      <w:proofErr w:type="gramStart"/>
      <w:r w:rsidRPr="00CA2806">
        <w:rPr>
          <w:rFonts w:ascii="Garamond" w:eastAsia="Garamond" w:hAnsi="Garamond" w:cs="Garamond"/>
          <w:i/>
          <w:iCs/>
          <w:color w:val="1A1A1A"/>
          <w:sz w:val="24"/>
          <w:szCs w:val="21"/>
        </w:rPr>
        <w:t>Cyber sovereignty and the rule of law</w:t>
      </w:r>
      <w:r w:rsidRPr="00CA2806">
        <w:rPr>
          <w:rFonts w:ascii="Garamond" w:eastAsia="Garamond" w:hAnsi="Garamond" w:cs="Garamond"/>
          <w:color w:val="1A1A1A"/>
          <w:sz w:val="24"/>
          <w:szCs w:val="21"/>
        </w:rPr>
        <w:t>.</w:t>
      </w:r>
      <w:proofErr w:type="gramEnd"/>
      <w:r w:rsidRPr="00CA2806">
        <w:rPr>
          <w:rFonts w:ascii="Garamond" w:eastAsia="Garamond" w:hAnsi="Garamond" w:cs="Garamond"/>
          <w:color w:val="1A1A1A"/>
          <w:sz w:val="24"/>
          <w:szCs w:val="21"/>
        </w:rPr>
        <w:t xml:space="preserve"> </w:t>
      </w:r>
      <w:proofErr w:type="gramStart"/>
      <w:r w:rsidRPr="00CA2806">
        <w:rPr>
          <w:rFonts w:ascii="Garamond" w:eastAsia="Garamond" w:hAnsi="Garamond" w:cs="Garamond"/>
          <w:color w:val="1A1A1A"/>
          <w:sz w:val="24"/>
          <w:szCs w:val="21"/>
        </w:rPr>
        <w:t>Oxford University Press.</w:t>
      </w:r>
      <w:proofErr w:type="gramEnd"/>
    </w:p>
    <w:p w:rsidR="00910212" w:rsidRPr="00CA2806" w:rsidRDefault="00A523AA" w:rsidP="00CA2806">
      <w:pPr>
        <w:spacing w:before="120" w:after="120"/>
        <w:ind w:left="360" w:hanging="360"/>
        <w:jc w:val="both"/>
        <w:rPr>
          <w:sz w:val="24"/>
        </w:rPr>
      </w:pPr>
      <w:proofErr w:type="spellStart"/>
      <w:proofErr w:type="gramStart"/>
      <w:r w:rsidRPr="00CA2806">
        <w:rPr>
          <w:rFonts w:ascii="Garamond" w:eastAsia="Garamond" w:hAnsi="Garamond" w:cs="Garamond"/>
          <w:color w:val="1A1A1A"/>
          <w:sz w:val="24"/>
          <w:szCs w:val="21"/>
        </w:rPr>
        <w:t>Idris</w:t>
      </w:r>
      <w:proofErr w:type="spellEnd"/>
      <w:r w:rsidRPr="00CA2806">
        <w:rPr>
          <w:rFonts w:ascii="Garamond" w:eastAsia="Garamond" w:hAnsi="Garamond" w:cs="Garamond"/>
          <w:color w:val="1A1A1A"/>
          <w:sz w:val="24"/>
          <w:szCs w:val="21"/>
        </w:rPr>
        <w:t xml:space="preserve">, H. O., </w:t>
      </w:r>
      <w:proofErr w:type="spellStart"/>
      <w:r w:rsidRPr="00CA2806">
        <w:rPr>
          <w:rFonts w:ascii="Garamond" w:eastAsia="Garamond" w:hAnsi="Garamond" w:cs="Garamond"/>
          <w:color w:val="1A1A1A"/>
          <w:sz w:val="24"/>
          <w:szCs w:val="21"/>
        </w:rPr>
        <w:t>Karimova</w:t>
      </w:r>
      <w:proofErr w:type="spellEnd"/>
      <w:r w:rsidRPr="00CA2806">
        <w:rPr>
          <w:rFonts w:ascii="Garamond" w:eastAsia="Garamond" w:hAnsi="Garamond" w:cs="Garamond"/>
          <w:color w:val="1A1A1A"/>
          <w:sz w:val="24"/>
          <w:szCs w:val="21"/>
        </w:rPr>
        <w:t>, A. R., &amp; Chen, D. M. (2022).</w:t>
      </w:r>
      <w:proofErr w:type="gramEnd"/>
      <w:r w:rsidRPr="00CA2806">
        <w:rPr>
          <w:rFonts w:ascii="Garamond" w:eastAsia="Garamond" w:hAnsi="Garamond" w:cs="Garamond"/>
          <w:color w:val="1A1A1A"/>
          <w:sz w:val="24"/>
          <w:szCs w:val="21"/>
        </w:rPr>
        <w:t xml:space="preserve"> Mutual legal assistance treaties in the age of cloud computing. </w:t>
      </w:r>
      <w:r w:rsidRPr="00CA2806">
        <w:rPr>
          <w:rFonts w:ascii="Garamond" w:eastAsia="Garamond" w:hAnsi="Garamond" w:cs="Garamond"/>
          <w:i/>
          <w:iCs/>
          <w:color w:val="1A1A1A"/>
          <w:sz w:val="24"/>
          <w:szCs w:val="21"/>
        </w:rPr>
        <w:t>International Journal of Cyber Law</w:t>
      </w:r>
      <w:r w:rsidRPr="00CA2806">
        <w:rPr>
          <w:rFonts w:ascii="Garamond" w:eastAsia="Garamond" w:hAnsi="Garamond" w:cs="Garamond"/>
          <w:color w:val="1A1A1A"/>
          <w:sz w:val="24"/>
          <w:szCs w:val="21"/>
        </w:rPr>
        <w:t>, 3(1), 22–40. https://doi.org/10.xxxx/ijcl.2022.0301</w:t>
      </w:r>
    </w:p>
    <w:p w:rsidR="00910212" w:rsidRPr="00CA2806" w:rsidRDefault="00A523AA" w:rsidP="00CA2806">
      <w:pPr>
        <w:spacing w:before="120" w:after="120"/>
        <w:ind w:left="360" w:hanging="360"/>
        <w:jc w:val="both"/>
        <w:rPr>
          <w:sz w:val="24"/>
        </w:rPr>
      </w:pPr>
      <w:proofErr w:type="spellStart"/>
      <w:proofErr w:type="gramStart"/>
      <w:r w:rsidRPr="00CA2806">
        <w:rPr>
          <w:rFonts w:ascii="Garamond" w:eastAsia="Garamond" w:hAnsi="Garamond" w:cs="Garamond"/>
          <w:color w:val="1A1A1A"/>
          <w:sz w:val="24"/>
          <w:szCs w:val="21"/>
        </w:rPr>
        <w:t>Islamov</w:t>
      </w:r>
      <w:proofErr w:type="spellEnd"/>
      <w:r w:rsidRPr="00CA2806">
        <w:rPr>
          <w:rFonts w:ascii="Garamond" w:eastAsia="Garamond" w:hAnsi="Garamond" w:cs="Garamond"/>
          <w:color w:val="1A1A1A"/>
          <w:sz w:val="24"/>
          <w:szCs w:val="21"/>
        </w:rPr>
        <w:t xml:space="preserve">, F. N., &amp; </w:t>
      </w:r>
      <w:proofErr w:type="spellStart"/>
      <w:r w:rsidRPr="00CA2806">
        <w:rPr>
          <w:rFonts w:ascii="Garamond" w:eastAsia="Garamond" w:hAnsi="Garamond" w:cs="Garamond"/>
          <w:color w:val="1A1A1A"/>
          <w:sz w:val="24"/>
          <w:szCs w:val="21"/>
        </w:rPr>
        <w:t>Karimova</w:t>
      </w:r>
      <w:proofErr w:type="spellEnd"/>
      <w:r w:rsidRPr="00CA2806">
        <w:rPr>
          <w:rFonts w:ascii="Garamond" w:eastAsia="Garamond" w:hAnsi="Garamond" w:cs="Garamond"/>
          <w:color w:val="1A1A1A"/>
          <w:sz w:val="24"/>
          <w:szCs w:val="21"/>
        </w:rPr>
        <w:t>, A. R. (2024).</w:t>
      </w:r>
      <w:proofErr w:type="gramEnd"/>
      <w:r w:rsidRPr="00CA2806">
        <w:rPr>
          <w:rFonts w:ascii="Garamond" w:eastAsia="Garamond" w:hAnsi="Garamond" w:cs="Garamond"/>
          <w:color w:val="1A1A1A"/>
          <w:sz w:val="24"/>
          <w:szCs w:val="21"/>
        </w:rPr>
        <w:t xml:space="preserve"> </w:t>
      </w:r>
      <w:proofErr w:type="gramStart"/>
      <w:r w:rsidRPr="00CA2806">
        <w:rPr>
          <w:rFonts w:ascii="Garamond" w:eastAsia="Garamond" w:hAnsi="Garamond" w:cs="Garamond"/>
          <w:i/>
          <w:iCs/>
          <w:color w:val="1A1A1A"/>
          <w:sz w:val="24"/>
          <w:szCs w:val="21"/>
        </w:rPr>
        <w:t>Digital jurisdiction in international law</w:t>
      </w:r>
      <w:r w:rsidRPr="00CA2806">
        <w:rPr>
          <w:rFonts w:ascii="Garamond" w:eastAsia="Garamond" w:hAnsi="Garamond" w:cs="Garamond"/>
          <w:color w:val="1A1A1A"/>
          <w:sz w:val="24"/>
          <w:szCs w:val="21"/>
        </w:rPr>
        <w:t>.</w:t>
      </w:r>
      <w:proofErr w:type="gramEnd"/>
      <w:r w:rsidRPr="00CA2806">
        <w:rPr>
          <w:rFonts w:ascii="Garamond" w:eastAsia="Garamond" w:hAnsi="Garamond" w:cs="Garamond"/>
          <w:color w:val="1A1A1A"/>
          <w:sz w:val="24"/>
          <w:szCs w:val="21"/>
        </w:rPr>
        <w:t xml:space="preserve"> </w:t>
      </w:r>
      <w:proofErr w:type="gramStart"/>
      <w:r w:rsidRPr="00CA2806">
        <w:rPr>
          <w:rFonts w:ascii="Garamond" w:eastAsia="Garamond" w:hAnsi="Garamond" w:cs="Garamond"/>
          <w:color w:val="1A1A1A"/>
          <w:sz w:val="24"/>
          <w:szCs w:val="21"/>
        </w:rPr>
        <w:t>Cambridge University Press.</w:t>
      </w:r>
      <w:proofErr w:type="gramEnd"/>
    </w:p>
    <w:sectPr w:rsidR="00910212" w:rsidRPr="00CA2806">
      <w:headerReference w:type="even" r:id="rId9"/>
      <w:headerReference w:type="default" r:id="rId10"/>
      <w:footerReference w:type="even" r:id="rId11"/>
      <w:footerReference w:type="default" r:id="rId12"/>
      <w:pgSz w:w="12240" w:h="15840"/>
      <w:pgMar w:top="900" w:right="1080" w:bottom="720" w:left="108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BF0" w:rsidRDefault="00CF0BF0">
      <w:r>
        <w:separator/>
      </w:r>
    </w:p>
  </w:endnote>
  <w:endnote w:type="continuationSeparator" w:id="0">
    <w:p w:rsidR="00CF0BF0" w:rsidRDefault="00CF0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12" w:rsidRDefault="00A523AA">
    <w:pPr>
      <w:pBdr>
        <w:top w:val="single" w:sz="4" w:space="4" w:color="D9D9D9"/>
      </w:pBdr>
      <w:tabs>
        <w:tab w:val="right" w:pos="9026"/>
      </w:tabs>
    </w:pPr>
    <w:r>
      <w:rPr>
        <w:rFonts w:ascii="Calibri" w:eastAsia="Calibri" w:hAnsi="Calibri" w:cs="Calibri"/>
        <w:color w:val="58595B"/>
        <w:sz w:val="16"/>
        <w:szCs w:val="16"/>
      </w:rPr>
      <w:t>ISSN 2XXX-XXXX</w:t>
    </w:r>
    <w:r>
      <w:rPr>
        <w:rFonts w:ascii="Calibri" w:eastAsia="Calibri" w:hAnsi="Calibri" w:cs="Calibri"/>
        <w:color w:val="58595B"/>
        <w:sz w:val="16"/>
        <w:szCs w:val="16"/>
      </w:rPr>
      <w:tab/>
      <w:t xml:space="preserve">Page </w:t>
    </w:r>
    <w:r>
      <w:rPr>
        <w:rFonts w:ascii="Calibri" w:eastAsia="Calibri" w:hAnsi="Calibri" w:cs="Calibri"/>
        <w:color w:val="58595B"/>
        <w:sz w:val="16"/>
        <w:szCs w:val="16"/>
      </w:rPr>
      <w:fldChar w:fldCharType="begin"/>
    </w:r>
    <w:r>
      <w:rPr>
        <w:rFonts w:ascii="Calibri" w:eastAsia="Calibri" w:hAnsi="Calibri" w:cs="Calibri"/>
        <w:color w:val="58595B"/>
        <w:sz w:val="16"/>
        <w:szCs w:val="16"/>
      </w:rPr>
      <w:instrText>PAGE</w:instrText>
    </w:r>
    <w:r>
      <w:rPr>
        <w:rFonts w:ascii="Calibri" w:eastAsia="Calibri" w:hAnsi="Calibri" w:cs="Calibri"/>
        <w:color w:val="58595B"/>
        <w:sz w:val="16"/>
        <w:szCs w:val="16"/>
      </w:rPr>
      <w:fldChar w:fldCharType="separate"/>
    </w:r>
    <w:r w:rsidR="00290AFC">
      <w:rPr>
        <w:rFonts w:ascii="Calibri" w:eastAsia="Calibri" w:hAnsi="Calibri" w:cs="Calibri"/>
        <w:noProof/>
        <w:color w:val="58595B"/>
        <w:sz w:val="16"/>
        <w:szCs w:val="16"/>
      </w:rPr>
      <w:t>2</w:t>
    </w:r>
    <w:r>
      <w:rPr>
        <w:rFonts w:ascii="Calibri" w:eastAsia="Calibri" w:hAnsi="Calibri" w:cs="Calibri"/>
        <w:color w:val="58595B"/>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12" w:rsidRPr="00CA2806" w:rsidRDefault="00A523AA">
    <w:pPr>
      <w:pBdr>
        <w:top w:val="single" w:sz="4" w:space="4" w:color="D9D9D9"/>
      </w:pBdr>
      <w:tabs>
        <w:tab w:val="right" w:pos="9026"/>
      </w:tabs>
      <w:rPr>
        <w:rFonts w:ascii="Georgia" w:hAnsi="Georgia"/>
      </w:rPr>
    </w:pPr>
    <w:r w:rsidRPr="00CA2806">
      <w:rPr>
        <w:rFonts w:ascii="Georgia" w:eastAsia="Calibri" w:hAnsi="Georgia" w:cs="Calibri"/>
        <w:color w:val="58595B"/>
        <w:sz w:val="16"/>
        <w:szCs w:val="16"/>
      </w:rPr>
      <w:t>ISSN 2XXX-XXXX</w:t>
    </w:r>
    <w:r w:rsidRPr="00CA2806">
      <w:rPr>
        <w:rFonts w:ascii="Georgia" w:eastAsia="Calibri" w:hAnsi="Georgia" w:cs="Calibri"/>
        <w:color w:val="58595B"/>
        <w:sz w:val="16"/>
        <w:szCs w:val="16"/>
      </w:rPr>
      <w:tab/>
      <w:t xml:space="preserve">Page </w:t>
    </w:r>
    <w:r w:rsidRPr="00CA2806">
      <w:rPr>
        <w:rFonts w:ascii="Georgia" w:eastAsia="Calibri" w:hAnsi="Georgia" w:cs="Calibri"/>
        <w:color w:val="58595B"/>
        <w:sz w:val="16"/>
        <w:szCs w:val="16"/>
      </w:rPr>
      <w:fldChar w:fldCharType="begin"/>
    </w:r>
    <w:r w:rsidRPr="00CA2806">
      <w:rPr>
        <w:rFonts w:ascii="Georgia" w:eastAsia="Calibri" w:hAnsi="Georgia" w:cs="Calibri"/>
        <w:color w:val="58595B"/>
        <w:sz w:val="16"/>
        <w:szCs w:val="16"/>
      </w:rPr>
      <w:instrText>PAGE</w:instrText>
    </w:r>
    <w:r w:rsidRPr="00CA2806">
      <w:rPr>
        <w:rFonts w:ascii="Georgia" w:eastAsia="Calibri" w:hAnsi="Georgia" w:cs="Calibri"/>
        <w:color w:val="58595B"/>
        <w:sz w:val="16"/>
        <w:szCs w:val="16"/>
      </w:rPr>
      <w:fldChar w:fldCharType="separate"/>
    </w:r>
    <w:r w:rsidR="00290AFC">
      <w:rPr>
        <w:rFonts w:ascii="Georgia" w:eastAsia="Calibri" w:hAnsi="Georgia" w:cs="Calibri"/>
        <w:noProof/>
        <w:color w:val="58595B"/>
        <w:sz w:val="16"/>
        <w:szCs w:val="16"/>
      </w:rPr>
      <w:t>1</w:t>
    </w:r>
    <w:r w:rsidRPr="00CA2806">
      <w:rPr>
        <w:rFonts w:ascii="Georgia" w:eastAsia="Calibri" w:hAnsi="Georgia" w:cs="Calibri"/>
        <w:color w:val="58595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BF0" w:rsidRDefault="00CF0BF0">
      <w:r>
        <w:separator/>
      </w:r>
    </w:p>
  </w:footnote>
  <w:footnote w:type="continuationSeparator" w:id="0">
    <w:p w:rsidR="00CF0BF0" w:rsidRDefault="00CF0B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12" w:rsidRDefault="00A523AA">
    <w:pPr>
      <w:pBdr>
        <w:bottom w:val="single" w:sz="4" w:space="4" w:color="B48C3C"/>
      </w:pBdr>
      <w:tabs>
        <w:tab w:val="right" w:pos="9026"/>
      </w:tabs>
    </w:pPr>
    <w:proofErr w:type="spellStart"/>
    <w:r>
      <w:rPr>
        <w:rFonts w:ascii="Calibri" w:eastAsia="Calibri" w:hAnsi="Calibri" w:cs="Calibri"/>
        <w:i/>
        <w:iCs/>
        <w:color w:val="0B1F3A"/>
        <w:sz w:val="17"/>
        <w:szCs w:val="17"/>
      </w:rPr>
      <w:t>Karimova</w:t>
    </w:r>
    <w:proofErr w:type="spellEnd"/>
    <w:r>
      <w:rPr>
        <w:rFonts w:ascii="Calibri" w:eastAsia="Calibri" w:hAnsi="Calibri" w:cs="Calibri"/>
        <w:i/>
        <w:iCs/>
        <w:color w:val="0B1F3A"/>
        <w:sz w:val="17"/>
        <w:szCs w:val="17"/>
      </w:rPr>
      <w:t xml:space="preserve">, </w:t>
    </w:r>
    <w:proofErr w:type="spellStart"/>
    <w:r>
      <w:rPr>
        <w:rFonts w:ascii="Calibri" w:eastAsia="Calibri" w:hAnsi="Calibri" w:cs="Calibri"/>
        <w:i/>
        <w:iCs/>
        <w:color w:val="0B1F3A"/>
        <w:sz w:val="17"/>
        <w:szCs w:val="17"/>
      </w:rPr>
      <w:t>Islamov</w:t>
    </w:r>
    <w:proofErr w:type="spellEnd"/>
    <w:r>
      <w:rPr>
        <w:rFonts w:ascii="Calibri" w:eastAsia="Calibri" w:hAnsi="Calibri" w:cs="Calibri"/>
        <w:i/>
        <w:iCs/>
        <w:color w:val="0B1F3A"/>
        <w:sz w:val="17"/>
        <w:szCs w:val="17"/>
      </w:rPr>
      <w:t xml:space="preserve"> &amp; Chen</w:t>
    </w:r>
    <w:r>
      <w:rPr>
        <w:rFonts w:ascii="Calibri" w:eastAsia="Calibri" w:hAnsi="Calibri" w:cs="Calibri"/>
        <w:color w:val="58595B"/>
        <w:sz w:val="17"/>
        <w:szCs w:val="17"/>
      </w:rPr>
      <w:tab/>
      <w:t>Sovereignty in the Cloud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212" w:rsidRPr="00CA2806" w:rsidRDefault="00A523AA">
    <w:pPr>
      <w:pBdr>
        <w:bottom w:val="single" w:sz="4" w:space="4" w:color="B48C3C"/>
      </w:pBdr>
      <w:tabs>
        <w:tab w:val="right" w:pos="9026"/>
      </w:tabs>
      <w:rPr>
        <w:rFonts w:ascii="Georgia" w:hAnsi="Georgia"/>
      </w:rPr>
    </w:pPr>
    <w:r w:rsidRPr="00CA2806">
      <w:rPr>
        <w:rFonts w:ascii="Georgia" w:eastAsia="Georgia" w:hAnsi="Georgia" w:cs="Georgia"/>
        <w:b/>
        <w:bCs/>
        <w:i/>
        <w:iCs/>
        <w:color w:val="0B1F3A"/>
        <w:sz w:val="17"/>
        <w:szCs w:val="17"/>
      </w:rPr>
      <w:t>International Journal of Cyber Law</w:t>
    </w:r>
    <w:r w:rsidRPr="00CA2806">
      <w:rPr>
        <w:rFonts w:ascii="Georgia" w:eastAsia="Calibri" w:hAnsi="Georgia" w:cs="Calibri"/>
        <w:color w:val="58595B"/>
        <w:sz w:val="17"/>
        <w:szCs w:val="17"/>
      </w:rPr>
      <w:tab/>
      <w:t>Vol. 4, Issue 2 — July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40D15"/>
    <w:multiLevelType w:val="hybridMultilevel"/>
    <w:tmpl w:val="FF4A7810"/>
    <w:lvl w:ilvl="0" w:tplc="907EB608">
      <w:start w:val="1"/>
      <w:numFmt w:val="bullet"/>
      <w:lvlText w:val="●"/>
      <w:lvlJc w:val="left"/>
      <w:pPr>
        <w:ind w:left="720" w:hanging="360"/>
      </w:pPr>
    </w:lvl>
    <w:lvl w:ilvl="1" w:tplc="C5281104">
      <w:start w:val="1"/>
      <w:numFmt w:val="bullet"/>
      <w:lvlText w:val="○"/>
      <w:lvlJc w:val="left"/>
      <w:pPr>
        <w:ind w:left="1440" w:hanging="360"/>
      </w:pPr>
    </w:lvl>
    <w:lvl w:ilvl="2" w:tplc="1946D8DE">
      <w:start w:val="1"/>
      <w:numFmt w:val="bullet"/>
      <w:lvlText w:val="■"/>
      <w:lvlJc w:val="left"/>
      <w:pPr>
        <w:ind w:left="2160" w:hanging="360"/>
      </w:pPr>
    </w:lvl>
    <w:lvl w:ilvl="3" w:tplc="3E6E832C">
      <w:start w:val="1"/>
      <w:numFmt w:val="bullet"/>
      <w:lvlText w:val="●"/>
      <w:lvlJc w:val="left"/>
      <w:pPr>
        <w:ind w:left="2880" w:hanging="360"/>
      </w:pPr>
    </w:lvl>
    <w:lvl w:ilvl="4" w:tplc="D4D8EF3C">
      <w:start w:val="1"/>
      <w:numFmt w:val="bullet"/>
      <w:lvlText w:val="○"/>
      <w:lvlJc w:val="left"/>
      <w:pPr>
        <w:ind w:left="3600" w:hanging="360"/>
      </w:pPr>
    </w:lvl>
    <w:lvl w:ilvl="5" w:tplc="876A5D96">
      <w:start w:val="1"/>
      <w:numFmt w:val="bullet"/>
      <w:lvlText w:val="■"/>
      <w:lvlJc w:val="left"/>
      <w:pPr>
        <w:ind w:left="4320" w:hanging="360"/>
      </w:pPr>
    </w:lvl>
    <w:lvl w:ilvl="6" w:tplc="B7D2A444">
      <w:start w:val="1"/>
      <w:numFmt w:val="bullet"/>
      <w:lvlText w:val="●"/>
      <w:lvlJc w:val="left"/>
      <w:pPr>
        <w:ind w:left="5040" w:hanging="360"/>
      </w:pPr>
    </w:lvl>
    <w:lvl w:ilvl="7" w:tplc="41769A70">
      <w:start w:val="1"/>
      <w:numFmt w:val="bullet"/>
      <w:lvlText w:val="●"/>
      <w:lvlJc w:val="left"/>
      <w:pPr>
        <w:ind w:left="5760" w:hanging="360"/>
      </w:pPr>
    </w:lvl>
    <w:lvl w:ilvl="8" w:tplc="669A898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910212"/>
    <w:rsid w:val="00014272"/>
    <w:rsid w:val="00290AFC"/>
    <w:rsid w:val="00875AD5"/>
    <w:rsid w:val="00910212"/>
    <w:rsid w:val="009B09A2"/>
    <w:rsid w:val="00A523AA"/>
    <w:rsid w:val="00CA2806"/>
    <w:rsid w:val="00CF0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875AD5"/>
    <w:rPr>
      <w:rFonts w:ascii="Tahoma" w:hAnsi="Tahoma" w:cs="Tahoma"/>
      <w:sz w:val="16"/>
      <w:szCs w:val="16"/>
    </w:rPr>
  </w:style>
  <w:style w:type="character" w:customStyle="1" w:styleId="BalloonTextChar">
    <w:name w:val="Balloon Text Char"/>
    <w:basedOn w:val="DefaultParagraphFont"/>
    <w:link w:val="BalloonText"/>
    <w:uiPriority w:val="99"/>
    <w:semiHidden/>
    <w:rsid w:val="00875AD5"/>
    <w:rPr>
      <w:rFonts w:ascii="Tahoma" w:hAnsi="Tahoma" w:cs="Tahoma"/>
      <w:sz w:val="16"/>
      <w:szCs w:val="16"/>
    </w:rPr>
  </w:style>
  <w:style w:type="paragraph" w:styleId="Header">
    <w:name w:val="header"/>
    <w:basedOn w:val="Normal"/>
    <w:link w:val="HeaderChar"/>
    <w:uiPriority w:val="99"/>
    <w:unhideWhenUsed/>
    <w:rsid w:val="00875AD5"/>
    <w:pPr>
      <w:tabs>
        <w:tab w:val="center" w:pos="4680"/>
        <w:tab w:val="right" w:pos="9360"/>
      </w:tabs>
    </w:pPr>
  </w:style>
  <w:style w:type="character" w:customStyle="1" w:styleId="HeaderChar">
    <w:name w:val="Header Char"/>
    <w:basedOn w:val="DefaultParagraphFont"/>
    <w:link w:val="Header"/>
    <w:uiPriority w:val="99"/>
    <w:rsid w:val="00875AD5"/>
  </w:style>
  <w:style w:type="paragraph" w:styleId="Footer">
    <w:name w:val="footer"/>
    <w:basedOn w:val="Normal"/>
    <w:link w:val="FooterChar"/>
    <w:uiPriority w:val="99"/>
    <w:unhideWhenUsed/>
    <w:rsid w:val="00875AD5"/>
    <w:pPr>
      <w:tabs>
        <w:tab w:val="center" w:pos="4680"/>
        <w:tab w:val="right" w:pos="9360"/>
      </w:tabs>
    </w:pPr>
  </w:style>
  <w:style w:type="character" w:customStyle="1" w:styleId="FooterChar">
    <w:name w:val="Footer Char"/>
    <w:basedOn w:val="DefaultParagraphFont"/>
    <w:link w:val="Footer"/>
    <w:uiPriority w:val="99"/>
    <w:rsid w:val="00875A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875AD5"/>
    <w:rPr>
      <w:rFonts w:ascii="Tahoma" w:hAnsi="Tahoma" w:cs="Tahoma"/>
      <w:sz w:val="16"/>
      <w:szCs w:val="16"/>
    </w:rPr>
  </w:style>
  <w:style w:type="character" w:customStyle="1" w:styleId="BalloonTextChar">
    <w:name w:val="Balloon Text Char"/>
    <w:basedOn w:val="DefaultParagraphFont"/>
    <w:link w:val="BalloonText"/>
    <w:uiPriority w:val="99"/>
    <w:semiHidden/>
    <w:rsid w:val="00875AD5"/>
    <w:rPr>
      <w:rFonts w:ascii="Tahoma" w:hAnsi="Tahoma" w:cs="Tahoma"/>
      <w:sz w:val="16"/>
      <w:szCs w:val="16"/>
    </w:rPr>
  </w:style>
  <w:style w:type="paragraph" w:styleId="Header">
    <w:name w:val="header"/>
    <w:basedOn w:val="Normal"/>
    <w:link w:val="HeaderChar"/>
    <w:uiPriority w:val="99"/>
    <w:unhideWhenUsed/>
    <w:rsid w:val="00875AD5"/>
    <w:pPr>
      <w:tabs>
        <w:tab w:val="center" w:pos="4680"/>
        <w:tab w:val="right" w:pos="9360"/>
      </w:tabs>
    </w:pPr>
  </w:style>
  <w:style w:type="character" w:customStyle="1" w:styleId="HeaderChar">
    <w:name w:val="Header Char"/>
    <w:basedOn w:val="DefaultParagraphFont"/>
    <w:link w:val="Header"/>
    <w:uiPriority w:val="99"/>
    <w:rsid w:val="00875AD5"/>
  </w:style>
  <w:style w:type="paragraph" w:styleId="Footer">
    <w:name w:val="footer"/>
    <w:basedOn w:val="Normal"/>
    <w:link w:val="FooterChar"/>
    <w:uiPriority w:val="99"/>
    <w:unhideWhenUsed/>
    <w:rsid w:val="00875AD5"/>
    <w:pPr>
      <w:tabs>
        <w:tab w:val="center" w:pos="4680"/>
        <w:tab w:val="right" w:pos="9360"/>
      </w:tabs>
    </w:pPr>
  </w:style>
  <w:style w:type="character" w:customStyle="1" w:styleId="FooterChar">
    <w:name w:val="Footer Char"/>
    <w:basedOn w:val="DefaultParagraphFont"/>
    <w:link w:val="Footer"/>
    <w:uiPriority w:val="99"/>
    <w:rsid w:val="00875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480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Naeem</cp:lastModifiedBy>
  <cp:revision>4</cp:revision>
  <dcterms:created xsi:type="dcterms:W3CDTF">2026-07-04T01:46:00Z</dcterms:created>
  <dcterms:modified xsi:type="dcterms:W3CDTF">2026-07-04T07:51:00Z</dcterms:modified>
</cp:coreProperties>
</file>